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A8092" w14:textId="545C19F9" w:rsidR="00872012" w:rsidRPr="00B266B0" w:rsidRDefault="00872012" w:rsidP="00872012">
      <w:pPr>
        <w:pStyle w:val="Header"/>
        <w:tabs>
          <w:tab w:val="right" w:pos="9639"/>
        </w:tabs>
        <w:rPr>
          <w:bCs/>
          <w:i/>
          <w:noProof w:val="0"/>
          <w:sz w:val="24"/>
          <w:szCs w:val="24"/>
        </w:rPr>
      </w:pPr>
      <w:r w:rsidRPr="00B05962">
        <w:rPr>
          <w:bCs/>
          <w:noProof w:val="0"/>
          <w:sz w:val="24"/>
          <w:szCs w:val="24"/>
        </w:rPr>
        <w:t>3GPP TSG-RAN WG2 Meeting #10</w:t>
      </w:r>
      <w:r>
        <w:rPr>
          <w:bCs/>
          <w:noProof w:val="0"/>
          <w:sz w:val="24"/>
          <w:szCs w:val="24"/>
        </w:rPr>
        <w:t>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5B5666">
        <w:rPr>
          <w:bCs/>
          <w:noProof w:val="0"/>
          <w:sz w:val="24"/>
          <w:szCs w:val="24"/>
        </w:rPr>
        <w:t>807885</w:t>
      </w:r>
    </w:p>
    <w:p w14:paraId="55D31946" w14:textId="77777777" w:rsidR="00872012" w:rsidRPr="00B266B0" w:rsidRDefault="00872012" w:rsidP="00872012">
      <w:pPr>
        <w:pStyle w:val="Header"/>
        <w:tabs>
          <w:tab w:val="right" w:pos="9639"/>
        </w:tabs>
        <w:rPr>
          <w:bCs/>
          <w:noProof w:val="0"/>
          <w:sz w:val="24"/>
          <w:szCs w:val="24"/>
        </w:rPr>
      </w:pPr>
      <w:r>
        <w:rPr>
          <w:rFonts w:eastAsia="SimSun"/>
          <w:noProof w:val="0"/>
          <w:sz w:val="24"/>
          <w:szCs w:val="24"/>
          <w:lang w:eastAsia="zh-CN"/>
        </w:rPr>
        <w:t>Busan</w:t>
      </w:r>
      <w:r w:rsidRPr="00231728">
        <w:rPr>
          <w:rFonts w:eastAsia="SimSun"/>
          <w:noProof w:val="0"/>
          <w:sz w:val="24"/>
          <w:szCs w:val="24"/>
          <w:lang w:eastAsia="zh-CN"/>
        </w:rPr>
        <w:t xml:space="preserve">, </w:t>
      </w:r>
      <w:r>
        <w:rPr>
          <w:rFonts w:eastAsia="SimSun"/>
          <w:noProof w:val="0"/>
          <w:sz w:val="24"/>
          <w:szCs w:val="24"/>
          <w:lang w:eastAsia="zh-CN"/>
        </w:rPr>
        <w:t>South Korea</w:t>
      </w:r>
      <w:r w:rsidRPr="00231728">
        <w:rPr>
          <w:rFonts w:eastAsia="SimSun"/>
          <w:noProof w:val="0"/>
          <w:sz w:val="24"/>
          <w:szCs w:val="24"/>
          <w:lang w:eastAsia="zh-CN"/>
        </w:rPr>
        <w:t xml:space="preserve">, </w:t>
      </w:r>
      <w:r>
        <w:rPr>
          <w:rFonts w:eastAsia="SimSun"/>
          <w:noProof w:val="0"/>
          <w:sz w:val="24"/>
          <w:szCs w:val="24"/>
          <w:lang w:eastAsia="zh-CN"/>
        </w:rPr>
        <w:t>21</w:t>
      </w:r>
      <w:r w:rsidRPr="00295AFC">
        <w:rPr>
          <w:rFonts w:eastAsia="SimSun"/>
          <w:noProof w:val="0"/>
          <w:sz w:val="24"/>
          <w:szCs w:val="24"/>
          <w:vertAlign w:val="superscript"/>
          <w:lang w:eastAsia="zh-CN"/>
        </w:rPr>
        <w:t>st</w:t>
      </w:r>
      <w:r>
        <w:rPr>
          <w:rFonts w:eastAsia="SimSun"/>
          <w:noProof w:val="0"/>
          <w:sz w:val="24"/>
          <w:szCs w:val="24"/>
          <w:lang w:eastAsia="zh-CN"/>
        </w:rPr>
        <w:t xml:space="preserve"> – 25</w:t>
      </w:r>
      <w:r w:rsidRPr="00295AFC">
        <w:rPr>
          <w:rFonts w:eastAsia="SimSun"/>
          <w:noProof w:val="0"/>
          <w:sz w:val="24"/>
          <w:szCs w:val="24"/>
          <w:vertAlign w:val="superscript"/>
          <w:lang w:eastAsia="zh-CN"/>
        </w:rPr>
        <w:t>th</w:t>
      </w:r>
      <w:r>
        <w:rPr>
          <w:rFonts w:eastAsia="SimSun"/>
          <w:noProof w:val="0"/>
          <w:sz w:val="24"/>
          <w:szCs w:val="24"/>
          <w:lang w:eastAsia="zh-CN"/>
        </w:rPr>
        <w:t xml:space="preserve"> May</w:t>
      </w:r>
      <w:r w:rsidRPr="00231728">
        <w:rPr>
          <w:rFonts w:eastAsia="SimSun"/>
          <w:noProof w:val="0"/>
          <w:sz w:val="24"/>
          <w:szCs w:val="24"/>
          <w:lang w:eastAsia="zh-CN"/>
        </w:rPr>
        <w:t xml:space="preserve"> 2018</w:t>
      </w:r>
      <w:r>
        <w:rPr>
          <w:rFonts w:eastAsia="SimSun"/>
          <w:noProof w:val="0"/>
          <w:sz w:val="24"/>
          <w:szCs w:val="24"/>
          <w:lang w:eastAsia="zh-CN"/>
        </w:rPr>
        <w:tab/>
      </w:r>
    </w:p>
    <w:p w14:paraId="1E7D656A" w14:textId="77777777" w:rsidR="00872012" w:rsidRPr="00B266B0" w:rsidRDefault="00872012" w:rsidP="00872012">
      <w:pPr>
        <w:pStyle w:val="Header"/>
        <w:rPr>
          <w:bCs/>
          <w:noProof w:val="0"/>
          <w:sz w:val="24"/>
        </w:rPr>
      </w:pPr>
    </w:p>
    <w:p w14:paraId="4BA86089" w14:textId="77777777" w:rsidR="00872012" w:rsidRPr="00B266B0" w:rsidRDefault="00872012" w:rsidP="00872012">
      <w:pPr>
        <w:pStyle w:val="Header"/>
        <w:rPr>
          <w:bCs/>
          <w:noProof w:val="0"/>
          <w:sz w:val="24"/>
        </w:rPr>
      </w:pPr>
    </w:p>
    <w:p w14:paraId="158C371F" w14:textId="285CA0CA" w:rsidR="00872012" w:rsidRPr="00B266B0" w:rsidRDefault="00872012" w:rsidP="0087201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9.18.3</w:t>
      </w:r>
    </w:p>
    <w:p w14:paraId="3F2B6173" w14:textId="77777777" w:rsidR="00872012" w:rsidRPr="00B266B0" w:rsidRDefault="00872012" w:rsidP="0087201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7E4653A9" w14:textId="3B87F7C5" w:rsidR="00872012" w:rsidRDefault="00872012" w:rsidP="00872012">
      <w:pPr>
        <w:ind w:left="1985" w:hanging="1985"/>
        <w:rPr>
          <w:rFonts w:ascii="Arial" w:hAnsi="Arial" w:cs="Arial"/>
          <w:b/>
          <w:bCs/>
          <w:sz w:val="24"/>
        </w:rPr>
      </w:pPr>
      <w:r>
        <w:rPr>
          <w:rFonts w:ascii="Arial" w:hAnsi="Arial" w:cs="Arial"/>
          <w:b/>
          <w:bCs/>
          <w:sz w:val="24"/>
        </w:rPr>
        <w:t>Title:</w:t>
      </w:r>
      <w:r>
        <w:rPr>
          <w:rFonts w:ascii="Arial" w:hAnsi="Arial" w:cs="Arial"/>
          <w:b/>
          <w:bCs/>
          <w:sz w:val="24"/>
        </w:rPr>
        <w:tab/>
        <w:t>Vertical movement mobility settings</w:t>
      </w:r>
    </w:p>
    <w:p w14:paraId="6B048742" w14:textId="77777777" w:rsidR="00872012" w:rsidRPr="00B266B0" w:rsidRDefault="00872012" w:rsidP="00872012">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A84478">
        <w:rPr>
          <w:rFonts w:ascii="Arial" w:hAnsi="Arial" w:cs="Arial"/>
          <w:b/>
          <w:bCs/>
          <w:sz w:val="24"/>
        </w:rPr>
        <w:t>LTE_Aerial-Core</w:t>
      </w:r>
      <w:r w:rsidRPr="00112F1A">
        <w:rPr>
          <w:rFonts w:ascii="Arial" w:hAnsi="Arial" w:cs="Arial"/>
          <w:b/>
          <w:bCs/>
          <w:sz w:val="24"/>
        </w:rPr>
        <w:t xml:space="preserve"> </w:t>
      </w:r>
      <w:r>
        <w:rPr>
          <w:rFonts w:ascii="Arial" w:hAnsi="Arial" w:cs="Arial"/>
          <w:b/>
          <w:bCs/>
          <w:sz w:val="24"/>
        </w:rPr>
        <w:t>- Release 15</w:t>
      </w:r>
    </w:p>
    <w:p w14:paraId="27C5DB66" w14:textId="77777777" w:rsidR="00872012" w:rsidRPr="00B266B0" w:rsidRDefault="00872012" w:rsidP="0087201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BD24F01" w14:textId="77777777" w:rsidR="00382A4D" w:rsidRDefault="00382A4D" w:rsidP="00382A4D">
      <w:pPr>
        <w:jc w:val="both"/>
      </w:pPr>
      <w:r>
        <w:t>The work item for Enhanced LTE support for Aerial Vehicles was approved [1] in RAN#78 and the objectives were identified:</w:t>
      </w:r>
    </w:p>
    <w:tbl>
      <w:tblPr>
        <w:tblStyle w:val="TableGrid"/>
        <w:tblW w:w="0" w:type="auto"/>
        <w:tblInd w:w="0" w:type="dxa"/>
        <w:tblLook w:val="04A0" w:firstRow="1" w:lastRow="0" w:firstColumn="1" w:lastColumn="0" w:noHBand="0" w:noVBand="1"/>
      </w:tblPr>
      <w:tblGrid>
        <w:gridCol w:w="9631"/>
      </w:tblGrid>
      <w:tr w:rsidR="00382A4D" w14:paraId="6910D608" w14:textId="77777777" w:rsidTr="00382A4D">
        <w:tc>
          <w:tcPr>
            <w:tcW w:w="9962" w:type="dxa"/>
            <w:tcBorders>
              <w:top w:val="single" w:sz="4" w:space="0" w:color="auto"/>
              <w:left w:val="single" w:sz="4" w:space="0" w:color="auto"/>
              <w:bottom w:val="single" w:sz="4" w:space="0" w:color="auto"/>
              <w:right w:val="single" w:sz="4" w:space="0" w:color="auto"/>
            </w:tcBorders>
            <w:hideMark/>
          </w:tcPr>
          <w:p w14:paraId="6E2D8CFD" w14:textId="77777777" w:rsidR="00382A4D" w:rsidRDefault="00382A4D">
            <w:r>
              <w:t>The detailed objectives of this work item are as follows:</w:t>
            </w:r>
          </w:p>
          <w:p w14:paraId="6486A584" w14:textId="77777777" w:rsidR="00382A4D" w:rsidRDefault="00382A4D" w:rsidP="00382A4D">
            <w:pPr>
              <w:pStyle w:val="ListParagraph"/>
              <w:numPr>
                <w:ilvl w:val="0"/>
                <w:numId w:val="8"/>
              </w:numPr>
              <w:jc w:val="both"/>
            </w:pPr>
            <w:r>
              <w:t>Specify enhancements to support improved mobility performance and interference detection in the following areas [RAN2]:</w:t>
            </w:r>
          </w:p>
          <w:p w14:paraId="1C88B077" w14:textId="77777777" w:rsidR="00382A4D" w:rsidRDefault="00382A4D" w:rsidP="00382A4D">
            <w:pPr>
              <w:pStyle w:val="ListParagraph"/>
              <w:numPr>
                <w:ilvl w:val="1"/>
                <w:numId w:val="8"/>
              </w:numPr>
              <w:jc w:val="both"/>
            </w:pPr>
            <w:r>
              <w:t>Enhancements to existing measurement reporting mechanisms such as definition of new events, enhanced triggering conditions, mechanisms to control the amount of measurement reporting.</w:t>
            </w:r>
          </w:p>
          <w:p w14:paraId="42E69434" w14:textId="77777777" w:rsidR="00382A4D" w:rsidRDefault="00382A4D" w:rsidP="00382A4D">
            <w:pPr>
              <w:pStyle w:val="ListParagraph"/>
              <w:numPr>
                <w:ilvl w:val="1"/>
                <w:numId w:val="8"/>
              </w:numPr>
              <w:jc w:val="both"/>
              <w:rPr>
                <w:b/>
              </w:rPr>
            </w:pPr>
            <w:r>
              <w:rPr>
                <w:b/>
              </w:rPr>
              <w:t>Enhancements to mobility for Aerial UEs such as conditional HO and enhancements based on information such as location information, UE’s airborne status, flight path plan, etc.</w:t>
            </w:r>
          </w:p>
          <w:p w14:paraId="22D079F7" w14:textId="77777777" w:rsidR="00382A4D" w:rsidRDefault="00382A4D" w:rsidP="00382A4D">
            <w:pPr>
              <w:pStyle w:val="ListParagraph"/>
              <w:numPr>
                <w:ilvl w:val="0"/>
                <w:numId w:val="8"/>
              </w:numPr>
              <w:jc w:val="both"/>
            </w:pPr>
            <w:r>
              <w:t>Specify enhancements to support indication of UE’s airborne status and indication of the UE’s support of UAV related functions in LTE network e.g. UE radio capability [RAN2].</w:t>
            </w:r>
          </w:p>
          <w:p w14:paraId="32E3C1DD" w14:textId="77777777" w:rsidR="00382A4D" w:rsidRDefault="00382A4D" w:rsidP="00382A4D">
            <w:pPr>
              <w:pStyle w:val="ListParagraph"/>
              <w:numPr>
                <w:ilvl w:val="0"/>
                <w:numId w:val="8"/>
              </w:numPr>
              <w:jc w:val="both"/>
            </w:pPr>
            <w:r>
              <w:t>Signaling support for subscription based identification [RAN2 lead, RAN3]</w:t>
            </w:r>
          </w:p>
          <w:p w14:paraId="6690F98C" w14:textId="32FCF125" w:rsidR="00382A4D" w:rsidRDefault="00382A4D" w:rsidP="00382A4D">
            <w:pPr>
              <w:pStyle w:val="ListParagraph"/>
              <w:numPr>
                <w:ilvl w:val="1"/>
                <w:numId w:val="8"/>
              </w:numPr>
              <w:jc w:val="both"/>
            </w:pPr>
            <w:r>
              <w:t xml:space="preserve">Specify S1/X2 </w:t>
            </w:r>
            <w:r w:rsidR="007909CA">
              <w:t>signaling</w:t>
            </w:r>
            <w:r>
              <w:t xml:space="preserve"> to support subscription based aerial UE identification</w:t>
            </w:r>
          </w:p>
          <w:p w14:paraId="62C26DE3" w14:textId="77777777" w:rsidR="00382A4D" w:rsidRDefault="00382A4D" w:rsidP="00382A4D">
            <w:pPr>
              <w:pStyle w:val="ListParagraph"/>
              <w:numPr>
                <w:ilvl w:val="0"/>
                <w:numId w:val="8"/>
              </w:numPr>
              <w:jc w:val="both"/>
            </w:pPr>
            <w:r>
              <w:t>Specify UL power control enhancements in the following areas [RAN1, RAN2]</w:t>
            </w:r>
          </w:p>
          <w:p w14:paraId="57FE8B3C" w14:textId="77777777" w:rsidR="00382A4D" w:rsidRDefault="00382A4D" w:rsidP="00382A4D">
            <w:pPr>
              <w:pStyle w:val="ListParagraph"/>
              <w:numPr>
                <w:ilvl w:val="1"/>
                <w:numId w:val="8"/>
              </w:numPr>
              <w:jc w:val="both"/>
            </w:pPr>
            <w:r>
              <w:t>UE specific fractional pathloss compensation factor</w:t>
            </w:r>
          </w:p>
          <w:p w14:paraId="5B305A9B" w14:textId="77777777" w:rsidR="00382A4D" w:rsidRDefault="00382A4D" w:rsidP="00382A4D">
            <w:pPr>
              <w:pStyle w:val="ListParagraph"/>
              <w:numPr>
                <w:ilvl w:val="1"/>
                <w:numId w:val="8"/>
              </w:numPr>
              <w:jc w:val="both"/>
            </w:pPr>
            <w:r>
              <w:t>Extending the supported range of UE specific P</w:t>
            </w:r>
            <w:r>
              <w:rPr>
                <w:vertAlign w:val="subscript"/>
              </w:rPr>
              <w:t>0</w:t>
            </w:r>
            <w:r>
              <w:t xml:space="preserve"> parameter</w:t>
            </w:r>
          </w:p>
        </w:tc>
      </w:tr>
    </w:tbl>
    <w:p w14:paraId="45EFD60F" w14:textId="77777777" w:rsidR="00382A4D" w:rsidRDefault="00382A4D" w:rsidP="00382A4D">
      <w:pPr>
        <w:jc w:val="both"/>
        <w:rPr>
          <w:rFonts w:asciiTheme="minorHAnsi" w:eastAsiaTheme="minorHAnsi" w:hAnsiTheme="minorHAnsi" w:cstheme="minorBidi"/>
          <w:sz w:val="22"/>
          <w:szCs w:val="22"/>
        </w:rPr>
      </w:pPr>
    </w:p>
    <w:p w14:paraId="1CF3DF88" w14:textId="29B356E1" w:rsidR="00382A4D" w:rsidRDefault="00382A4D" w:rsidP="00382A4D">
      <w:pPr>
        <w:jc w:val="both"/>
      </w:pPr>
      <w:r>
        <w:t xml:space="preserve">This contribution discusses the challenges facing aerial UEs </w:t>
      </w:r>
      <w:r w:rsidR="00500B87">
        <w:t xml:space="preserve">when moving in vertical direction during </w:t>
      </w:r>
      <w:r w:rsidR="007909CA">
        <w:t>take-off</w:t>
      </w:r>
      <w:r w:rsidR="00500B87">
        <w:t xml:space="preserve"> and landing </w:t>
      </w:r>
      <w:r>
        <w:t xml:space="preserve">in relation to the current HO procedure in LTE. </w:t>
      </w:r>
    </w:p>
    <w:p w14:paraId="127ACA6D" w14:textId="0313DB74" w:rsidR="00CD4C7B" w:rsidRPr="007909CA" w:rsidRDefault="00CD4C7B" w:rsidP="00CD4C7B">
      <w:pPr>
        <w:pStyle w:val="Heading1"/>
        <w:rPr>
          <w:lang w:val="en-US"/>
        </w:rPr>
      </w:pPr>
      <w:r w:rsidRPr="004A1C9A">
        <w:rPr>
          <w:lang w:val="pl-PL"/>
        </w:rPr>
        <w:t>2</w:t>
      </w:r>
      <w:r w:rsidRPr="004A1C9A">
        <w:rPr>
          <w:lang w:val="pl-PL"/>
        </w:rPr>
        <w:tab/>
      </w:r>
      <w:r w:rsidR="00500B87" w:rsidRPr="007909CA">
        <w:rPr>
          <w:lang w:val="en-US"/>
        </w:rPr>
        <w:t>Vertical vs Horizontal movement</w:t>
      </w:r>
    </w:p>
    <w:p w14:paraId="14B73A3C" w14:textId="70BC6B77" w:rsidR="00D962E5" w:rsidRDefault="007909CA" w:rsidP="00BC0035">
      <w:pPr>
        <w:jc w:val="both"/>
        <w:rPr>
          <w:lang w:val="en-US"/>
        </w:rPr>
      </w:pPr>
      <w:r>
        <w:rPr>
          <w:lang w:val="en-US"/>
        </w:rPr>
        <w:t xml:space="preserve">It has previously been discussed that the handover procedures and corresponding parameters should be different for </w:t>
      </w:r>
      <w:r w:rsidR="00706D9B">
        <w:rPr>
          <w:lang w:val="en-US"/>
        </w:rPr>
        <w:t>aerial UEs</w:t>
      </w:r>
      <w:r>
        <w:rPr>
          <w:lang w:val="en-US"/>
        </w:rPr>
        <w:t xml:space="preserve"> compared to terrestrial </w:t>
      </w:r>
      <w:r w:rsidR="00706D9B">
        <w:rPr>
          <w:lang w:val="en-US"/>
        </w:rPr>
        <w:t>UEs</w:t>
      </w:r>
      <w:r>
        <w:rPr>
          <w:lang w:val="en-US"/>
        </w:rPr>
        <w:t>. Furthermore, it has been proposed to have different procedures and parameters for different heights [</w:t>
      </w:r>
      <w:r w:rsidR="00706D9B">
        <w:rPr>
          <w:lang w:val="en-US"/>
        </w:rPr>
        <w:t>2</w:t>
      </w:r>
      <w:r>
        <w:rPr>
          <w:lang w:val="en-US"/>
        </w:rPr>
        <w:t>]</w:t>
      </w:r>
      <w:r w:rsidR="00706D9B">
        <w:rPr>
          <w:lang w:val="en-US"/>
        </w:rPr>
        <w:t>.</w:t>
      </w:r>
    </w:p>
    <w:p w14:paraId="3AEDD457" w14:textId="728F2502" w:rsidR="00706D9B" w:rsidRDefault="00706D9B" w:rsidP="00BC0035">
      <w:pPr>
        <w:jc w:val="both"/>
        <w:rPr>
          <w:lang w:val="en-US"/>
        </w:rPr>
      </w:pPr>
      <w:r>
        <w:rPr>
          <w:lang w:val="en-US"/>
        </w:rPr>
        <w:t xml:space="preserve">However, aerial UEs have the possibility to not only move in horizontal direction, but also in vertical direction. From a flight safety point of view especially </w:t>
      </w:r>
      <w:r w:rsidR="009B2489">
        <w:rPr>
          <w:lang w:val="en-US"/>
        </w:rPr>
        <w:t>take-off</w:t>
      </w:r>
      <w:r>
        <w:rPr>
          <w:lang w:val="en-US"/>
        </w:rPr>
        <w:t xml:space="preserve"> and landing are most critical </w:t>
      </w:r>
      <w:r w:rsidR="009B2489">
        <w:rPr>
          <w:lang w:val="en-US"/>
        </w:rPr>
        <w:t>and a large percentage of accidents happen during these phases [3].</w:t>
      </w:r>
    </w:p>
    <w:p w14:paraId="788BA14E" w14:textId="1451CC45" w:rsidR="009B2489" w:rsidRDefault="009B2489" w:rsidP="00BC0035">
      <w:pPr>
        <w:jc w:val="both"/>
        <w:rPr>
          <w:lang w:val="en-US"/>
        </w:rPr>
      </w:pPr>
      <w:r>
        <w:rPr>
          <w:lang w:val="en-US"/>
        </w:rPr>
        <w:t xml:space="preserve">At the same time the radio propagation is changing rapidly in the vertical direction and fundamentally different from horizontal movement, as antenna patterns are </w:t>
      </w:r>
      <w:r w:rsidR="00ED4F81">
        <w:rPr>
          <w:lang w:val="en-US"/>
        </w:rPr>
        <w:t>narrower in the vertical direction than in the horizontal direction</w:t>
      </w:r>
      <w:r>
        <w:rPr>
          <w:lang w:val="en-US"/>
        </w:rPr>
        <w:t xml:space="preserve"> and changes in environment happen more rapidly in the vertical domain. A good example is the clearance of the roof tops in an urban area.</w:t>
      </w:r>
    </w:p>
    <w:p w14:paraId="211636E1" w14:textId="2770010D" w:rsidR="00BC0035" w:rsidRPr="007909CA" w:rsidRDefault="00BC0035" w:rsidP="00D246F2">
      <w:pPr>
        <w:jc w:val="both"/>
        <w:rPr>
          <w:lang w:val="en-US"/>
        </w:rPr>
      </w:pPr>
      <w:r>
        <w:rPr>
          <w:lang w:val="en-US"/>
        </w:rPr>
        <w:lastRenderedPageBreak/>
        <w:t>Figure</w:t>
      </w:r>
      <w:r w:rsidR="00027889">
        <w:rPr>
          <w:lang w:val="en-US"/>
        </w:rPr>
        <w:t xml:space="preserve"> 1</w:t>
      </w:r>
      <w:r>
        <w:rPr>
          <w:lang w:val="en-US"/>
        </w:rPr>
        <w:t xml:space="preserve"> shows the results from measurements in an urban area. A network scanner was moved from ground level to 40 meters in steps of 10 meters. The network scanner measured continuously the cells it could detect with an average measurement report rate of 7 Hz. One measurement report included all the detectable cells at that point in time. Figure 1 shows the distribution of the cells with the strongest RSRP level per height. </w:t>
      </w:r>
      <w:r w:rsidR="00D246F2">
        <w:rPr>
          <w:lang w:val="en-US"/>
        </w:rPr>
        <w:t xml:space="preserve"> The distribution changes a lot with height. While cell 9 always appears at some point at the different heights, cell 81 only shows up when the height is 40 m and the radio path is free of obstructions. </w:t>
      </w:r>
    </w:p>
    <w:p w14:paraId="71213277" w14:textId="4C93D6AF" w:rsidR="00500B87" w:rsidRDefault="00BC0035" w:rsidP="00CD4C7B">
      <w:pPr>
        <w:rPr>
          <w:lang w:val="pl-PL"/>
        </w:rPr>
      </w:pPr>
      <w:r>
        <w:rPr>
          <w:noProof/>
        </w:rPr>
        <w:drawing>
          <wp:inline distT="0" distB="0" distL="0" distR="0" wp14:anchorId="5E9FCA12" wp14:editId="76BD7A13">
            <wp:extent cx="6122035" cy="3376930"/>
            <wp:effectExtent l="0" t="0" r="12065" b="13970"/>
            <wp:docPr id="1" name="Chart 1">
              <a:extLst xmlns:a="http://schemas.openxmlformats.org/drawingml/2006/main">
                <a:ext uri="{FF2B5EF4-FFF2-40B4-BE49-F238E27FC236}">
                  <a16:creationId xmlns:a16="http://schemas.microsoft.com/office/drawing/2014/main" id="{36C5DBE2-27A3-4F48-A880-A687077FC68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CB478AC" w14:textId="0B02B485" w:rsidR="003E65EB" w:rsidRPr="006E13D1" w:rsidRDefault="00BC0035" w:rsidP="003E65EB">
      <w:pPr>
        <w:pStyle w:val="TF"/>
      </w:pPr>
      <w:r>
        <w:t xml:space="preserve">Figure </w:t>
      </w:r>
      <w:r w:rsidR="00027889">
        <w:t>1</w:t>
      </w:r>
      <w:r>
        <w:t>: Distribution of cells with strongest measured RSRP value for different heights in urban environment based on measurements</w:t>
      </w:r>
    </w:p>
    <w:p w14:paraId="4DAEFC44" w14:textId="2C77CBF1" w:rsidR="003E65EB" w:rsidRDefault="00D246F2" w:rsidP="00830D2A">
      <w:pPr>
        <w:jc w:val="both"/>
        <w:rPr>
          <w:lang w:val="en-US"/>
        </w:rPr>
      </w:pPr>
      <w:r w:rsidRPr="0036706F">
        <w:rPr>
          <w:lang w:val="en-US"/>
        </w:rPr>
        <w:t xml:space="preserve">The vertical speed </w:t>
      </w:r>
      <w:r w:rsidR="0036706F" w:rsidRPr="0036706F">
        <w:rPr>
          <w:lang w:val="en-US"/>
        </w:rPr>
        <w:t xml:space="preserve">of a drone is typically in the order of 6 m/s, but can be considerably larger than that and is likely to further increase in the future. That means that the change in radio conditions is likely to be faster </w:t>
      </w:r>
      <w:r w:rsidR="00830D2A">
        <w:rPr>
          <w:lang w:val="en-US"/>
        </w:rPr>
        <w:t xml:space="preserve">changing </w:t>
      </w:r>
      <w:r w:rsidR="0036706F" w:rsidRPr="0036706F">
        <w:rPr>
          <w:lang w:val="en-US"/>
        </w:rPr>
        <w:t xml:space="preserve">and different in the vertical direction than in the horizontal direction. </w:t>
      </w:r>
    </w:p>
    <w:p w14:paraId="6CC5055B" w14:textId="01D3F756" w:rsidR="0036706F" w:rsidRPr="00830D2A" w:rsidRDefault="0036706F" w:rsidP="00CD4C7B">
      <w:pPr>
        <w:rPr>
          <w:b/>
          <w:lang w:val="en-US"/>
        </w:rPr>
      </w:pPr>
      <w:r w:rsidRPr="00830D2A">
        <w:rPr>
          <w:b/>
          <w:lang w:val="en-US"/>
        </w:rPr>
        <w:t>Observation</w:t>
      </w:r>
      <w:r w:rsidR="00830D2A" w:rsidRPr="00830D2A">
        <w:rPr>
          <w:b/>
          <w:lang w:val="en-US"/>
        </w:rPr>
        <w:t xml:space="preserve"> 1: Radio conditions are likely to be changing </w:t>
      </w:r>
      <w:r w:rsidR="00027889">
        <w:rPr>
          <w:b/>
          <w:lang w:val="en-US"/>
        </w:rPr>
        <w:t xml:space="preserve">faster </w:t>
      </w:r>
      <w:r w:rsidR="00830D2A" w:rsidRPr="00830D2A">
        <w:rPr>
          <w:b/>
          <w:lang w:val="en-US"/>
        </w:rPr>
        <w:t xml:space="preserve">and </w:t>
      </w:r>
      <w:r w:rsidR="00027889">
        <w:rPr>
          <w:b/>
          <w:lang w:val="en-US"/>
        </w:rPr>
        <w:t xml:space="preserve">to be </w:t>
      </w:r>
      <w:r w:rsidR="00830D2A" w:rsidRPr="00830D2A">
        <w:rPr>
          <w:b/>
          <w:lang w:val="en-US"/>
        </w:rPr>
        <w:t>different in the vertical direction than in the horizontal direction.</w:t>
      </w:r>
    </w:p>
    <w:p w14:paraId="05053A2E" w14:textId="2F29D133" w:rsidR="0036706F" w:rsidRDefault="00830D2A" w:rsidP="00830D2A">
      <w:pPr>
        <w:jc w:val="both"/>
        <w:rPr>
          <w:lang w:val="en-US"/>
        </w:rPr>
      </w:pPr>
      <w:r>
        <w:rPr>
          <w:lang w:val="en-US"/>
        </w:rPr>
        <w:t>To</w:t>
      </w:r>
      <w:r w:rsidR="0036706F">
        <w:rPr>
          <w:lang w:val="en-US"/>
        </w:rPr>
        <w:t xml:space="preserve"> ensure the required high reliability during </w:t>
      </w:r>
      <w:r>
        <w:rPr>
          <w:lang w:val="en-US"/>
        </w:rPr>
        <w:t>take-off</w:t>
      </w:r>
      <w:r w:rsidR="0036706F">
        <w:rPr>
          <w:lang w:val="en-US"/>
        </w:rPr>
        <w:t xml:space="preserve"> and landing and to tackle the different radio conditions, different handover settings </w:t>
      </w:r>
      <w:r>
        <w:rPr>
          <w:lang w:val="en-US"/>
        </w:rPr>
        <w:t xml:space="preserve">are beneficial. These settings can be triggered when the vertical speed of the UE exceeds a threshold and can be provided through SIB or RRC signaling. </w:t>
      </w:r>
    </w:p>
    <w:p w14:paraId="716838BD" w14:textId="5A221549" w:rsidR="0036706F" w:rsidRDefault="0036706F" w:rsidP="0036706F">
      <w:pPr>
        <w:rPr>
          <w:b/>
          <w:lang w:val="en-US"/>
        </w:rPr>
      </w:pPr>
      <w:r w:rsidRPr="00830D2A">
        <w:rPr>
          <w:b/>
          <w:lang w:val="en-US"/>
        </w:rPr>
        <w:t xml:space="preserve">Proposal </w:t>
      </w:r>
      <w:r w:rsidR="00830D2A" w:rsidRPr="00830D2A">
        <w:rPr>
          <w:b/>
          <w:lang w:val="en-US"/>
        </w:rPr>
        <w:t xml:space="preserve">1: RAN2 is asked to consider specifying the possibility of having separate mobility settings when moving in vertical direction, exceeding a certain vertical speed. </w:t>
      </w:r>
    </w:p>
    <w:p w14:paraId="3DD8AFEA" w14:textId="5D707464" w:rsidR="00834490" w:rsidRDefault="00834490" w:rsidP="00BA5F69">
      <w:pPr>
        <w:jc w:val="both"/>
        <w:rPr>
          <w:lang w:val="en-US"/>
        </w:rPr>
      </w:pPr>
      <w:r>
        <w:rPr>
          <w:lang w:val="en-US"/>
        </w:rPr>
        <w:t>For example, measurement configuration can be enhanced with a new set of “alternative parameters” which would be used by the UE only when vertical speed reaches certain threshold. Below o</w:t>
      </w:r>
      <w:r w:rsidR="003246E6">
        <w:rPr>
          <w:lang w:val="en-US"/>
        </w:rPr>
        <w:t>ne may find</w:t>
      </w:r>
      <w:r>
        <w:rPr>
          <w:lang w:val="en-US"/>
        </w:rPr>
        <w:t xml:space="preserve"> potential changes required in </w:t>
      </w:r>
      <w:r w:rsidRPr="004E7ED9">
        <w:rPr>
          <w:i/>
          <w:lang w:val="en-US"/>
        </w:rPr>
        <w:t>MeasConfig</w:t>
      </w:r>
      <w:r>
        <w:rPr>
          <w:lang w:val="en-US"/>
        </w:rPr>
        <w:t>, if Proposal 1</w:t>
      </w:r>
      <w:bookmarkStart w:id="0" w:name="_GoBack"/>
      <w:bookmarkEnd w:id="0"/>
      <w:r>
        <w:rPr>
          <w:lang w:val="en-US"/>
        </w:rPr>
        <w:t xml:space="preserve"> gathers sufficient number of supporting companies:</w:t>
      </w:r>
    </w:p>
    <w:p w14:paraId="6D5B8B9A" w14:textId="76853A48" w:rsidR="00834490" w:rsidRDefault="00834490" w:rsidP="00834490">
      <w:pPr>
        <w:pStyle w:val="PL"/>
        <w:shd w:val="clear" w:color="auto" w:fill="E6E6E6"/>
      </w:pPr>
      <w:r>
        <w:t>[[ verticalSpeedDependentParameters-r15</w:t>
      </w:r>
      <w:r>
        <w:tab/>
        <w:t>::= SEQUENCE {</w:t>
      </w:r>
    </w:p>
    <w:p w14:paraId="6C0777A6" w14:textId="64279B58" w:rsidR="00834490" w:rsidRDefault="00834490" w:rsidP="00834490">
      <w:pPr>
        <w:pStyle w:val="PL"/>
        <w:shd w:val="clear" w:color="auto" w:fill="E6E6E6"/>
      </w:pPr>
      <w:r>
        <w:tab/>
      </w:r>
      <w:r>
        <w:tab/>
      </w:r>
      <w:r>
        <w:tab/>
        <w:t>verticalSpeed-r15</w:t>
      </w:r>
      <w:r>
        <w:tab/>
      </w:r>
      <w:r>
        <w:tab/>
        <w:t xml:space="preserve"> </w:t>
      </w:r>
      <w:r>
        <w:tab/>
        <w:t xml:space="preserve">INTEGER (1..maxVerticalSpeed) </w:t>
      </w:r>
      <w:r w:rsidRPr="00CC7909">
        <w:t>OPTIONAL</w:t>
      </w:r>
      <w:r>
        <w:t>,</w:t>
      </w:r>
      <w:r w:rsidRPr="00CC7909">
        <w:tab/>
      </w:r>
      <w:r w:rsidRPr="00CC7909">
        <w:tab/>
      </w:r>
      <w:r w:rsidRPr="00CC7909">
        <w:tab/>
        <w:t>-- Need ON</w:t>
      </w:r>
    </w:p>
    <w:p w14:paraId="7585F9F0" w14:textId="59D1A897" w:rsidR="00834490" w:rsidRDefault="00834490" w:rsidP="00834490">
      <w:pPr>
        <w:pStyle w:val="PL"/>
        <w:shd w:val="clear" w:color="auto" w:fill="E6E6E6"/>
      </w:pPr>
      <w:r>
        <w:tab/>
      </w:r>
      <w:r>
        <w:tab/>
      </w:r>
      <w:r>
        <w:tab/>
        <w:t>alternativeParameters-r15</w:t>
      </w:r>
      <w:r>
        <w:tab/>
        <w:t>AlternativeParameters-r15</w:t>
      </w:r>
      <w:r>
        <w:tab/>
        <w:t xml:space="preserve">  </w:t>
      </w:r>
      <w:r w:rsidRPr="00CC7909">
        <w:t>OPTIONAL</w:t>
      </w:r>
      <w:r w:rsidRPr="00CC7909">
        <w:tab/>
      </w:r>
      <w:r w:rsidRPr="00CC7909">
        <w:tab/>
      </w:r>
      <w:r w:rsidRPr="00CC7909">
        <w:tab/>
        <w:t>-- Need ON</w:t>
      </w:r>
    </w:p>
    <w:p w14:paraId="2FD255EA" w14:textId="65AAA833" w:rsidR="00834490" w:rsidRDefault="00834490" w:rsidP="00834490">
      <w:pPr>
        <w:pStyle w:val="PL"/>
        <w:shd w:val="clear" w:color="auto" w:fill="E6E6E6"/>
      </w:pPr>
      <w:r>
        <w:t xml:space="preserve">} OPTIONAL -- Need ON </w:t>
      </w:r>
    </w:p>
    <w:p w14:paraId="5F039128" w14:textId="77777777" w:rsidR="00834490" w:rsidRDefault="00834490" w:rsidP="00834490">
      <w:pPr>
        <w:pStyle w:val="PL"/>
        <w:shd w:val="clear" w:color="auto" w:fill="E6E6E6"/>
      </w:pPr>
    </w:p>
    <w:p w14:paraId="3336B0E0" w14:textId="7451154A" w:rsidR="00834490" w:rsidRDefault="00834490" w:rsidP="00834490">
      <w:pPr>
        <w:pStyle w:val="PL"/>
        <w:shd w:val="clear" w:color="auto" w:fill="E6E6E6"/>
      </w:pPr>
      <w:r>
        <w:t>]],</w:t>
      </w:r>
    </w:p>
    <w:p w14:paraId="0DC583BC" w14:textId="77777777" w:rsidR="00834490" w:rsidRDefault="00834490" w:rsidP="00BA5F69">
      <w:pPr>
        <w:jc w:val="both"/>
        <w:rPr>
          <w:lang w:val="en-US"/>
        </w:rPr>
      </w:pPr>
    </w:p>
    <w:p w14:paraId="58E0496D" w14:textId="7C0908D4" w:rsidR="003D7980" w:rsidRPr="003D7980" w:rsidRDefault="00A100B3">
      <w:pPr>
        <w:rPr>
          <w:b/>
          <w:lang w:val="en-US"/>
        </w:rPr>
      </w:pPr>
      <w:r w:rsidRPr="00830D2A">
        <w:rPr>
          <w:b/>
          <w:lang w:val="en-US"/>
        </w:rPr>
        <w:t xml:space="preserve">Proposal </w:t>
      </w:r>
      <w:r>
        <w:rPr>
          <w:b/>
          <w:lang w:val="en-US"/>
        </w:rPr>
        <w:t>2</w:t>
      </w:r>
      <w:r w:rsidRPr="00830D2A">
        <w:rPr>
          <w:b/>
          <w:lang w:val="en-US"/>
        </w:rPr>
        <w:t xml:space="preserve">: RAN2 is asked to consider </w:t>
      </w:r>
      <w:r w:rsidR="00834490">
        <w:rPr>
          <w:b/>
          <w:lang w:val="en-US"/>
        </w:rPr>
        <w:t xml:space="preserve">introducing alternative measurement parameters, e.g. in </w:t>
      </w:r>
      <w:r w:rsidR="00834490" w:rsidRPr="00BA5F69">
        <w:rPr>
          <w:b/>
          <w:i/>
          <w:lang w:val="en-US"/>
        </w:rPr>
        <w:t>MeasConfig</w:t>
      </w:r>
      <w:r w:rsidR="00834490">
        <w:rPr>
          <w:b/>
          <w:lang w:val="en-US"/>
        </w:rPr>
        <w:t xml:space="preserve">, used when UE reaches certain </w:t>
      </w:r>
      <w:r>
        <w:rPr>
          <w:b/>
          <w:lang w:val="en-US"/>
        </w:rPr>
        <w:t>vertical speed</w:t>
      </w:r>
      <w:r w:rsidR="00834490">
        <w:rPr>
          <w:b/>
          <w:lang w:val="en-US"/>
        </w:rPr>
        <w:t>.</w:t>
      </w:r>
      <w:r w:rsidRPr="00830D2A">
        <w:rPr>
          <w:b/>
          <w:lang w:val="en-US"/>
        </w:rPr>
        <w:t xml:space="preserve"> </w:t>
      </w:r>
    </w:p>
    <w:p w14:paraId="43A12B72" w14:textId="133CECF8" w:rsidR="00CD4C7B" w:rsidRPr="004A1C9A" w:rsidRDefault="00027889" w:rsidP="00CD4C7B">
      <w:pPr>
        <w:pStyle w:val="Heading1"/>
        <w:rPr>
          <w:lang w:val="pl-PL"/>
        </w:rPr>
      </w:pPr>
      <w:r>
        <w:rPr>
          <w:lang w:val="pl-PL"/>
        </w:rPr>
        <w:lastRenderedPageBreak/>
        <w:t>3</w:t>
      </w:r>
      <w:r w:rsidR="00CD4C7B" w:rsidRPr="004A1C9A">
        <w:rPr>
          <w:lang w:val="pl-PL"/>
        </w:rPr>
        <w:tab/>
      </w:r>
      <w:r w:rsidR="00ED4F81">
        <w:rPr>
          <w:lang w:val="pl-PL"/>
        </w:rPr>
        <w:t>Summary</w:t>
      </w:r>
    </w:p>
    <w:p w14:paraId="3F9CB619" w14:textId="15B61AA8" w:rsidR="00B5394C" w:rsidRDefault="00830D2A" w:rsidP="00B5394C">
      <w:pPr>
        <w:jc w:val="both"/>
        <w:rPr>
          <w:rFonts w:eastAsia="SimSun"/>
          <w:lang w:eastAsia="zh-CN"/>
        </w:rPr>
      </w:pPr>
      <w:r>
        <w:rPr>
          <w:color w:val="000000"/>
        </w:rPr>
        <w:t>This contribution contains the following observation and proposal</w:t>
      </w:r>
      <w:r w:rsidR="005B5666">
        <w:rPr>
          <w:color w:val="000000"/>
        </w:rPr>
        <w:t>s</w:t>
      </w:r>
      <w:r>
        <w:rPr>
          <w:color w:val="000000"/>
        </w:rPr>
        <w:t>:</w:t>
      </w:r>
    </w:p>
    <w:p w14:paraId="1561639A" w14:textId="235B9227" w:rsidR="00830D2A" w:rsidRPr="00830D2A" w:rsidRDefault="00830D2A" w:rsidP="00830D2A">
      <w:pPr>
        <w:rPr>
          <w:b/>
          <w:lang w:val="en-US"/>
        </w:rPr>
      </w:pPr>
      <w:r w:rsidRPr="00830D2A">
        <w:rPr>
          <w:b/>
          <w:lang w:val="en-US"/>
        </w:rPr>
        <w:t>Observation 1: Radio conditions are likely to be changing</w:t>
      </w:r>
      <w:r w:rsidR="00027889">
        <w:rPr>
          <w:b/>
          <w:lang w:val="en-US"/>
        </w:rPr>
        <w:t xml:space="preserve"> faster</w:t>
      </w:r>
      <w:r w:rsidRPr="00830D2A">
        <w:rPr>
          <w:b/>
          <w:lang w:val="en-US"/>
        </w:rPr>
        <w:t xml:space="preserve"> and</w:t>
      </w:r>
      <w:r w:rsidR="00027889">
        <w:rPr>
          <w:b/>
          <w:lang w:val="en-US"/>
        </w:rPr>
        <w:t xml:space="preserve"> to be</w:t>
      </w:r>
      <w:r w:rsidRPr="00830D2A">
        <w:rPr>
          <w:b/>
          <w:lang w:val="en-US"/>
        </w:rPr>
        <w:t xml:space="preserve"> different in the vertical direction than in the horizontal direction.</w:t>
      </w:r>
    </w:p>
    <w:p w14:paraId="3EC01395" w14:textId="77777777" w:rsidR="00C84444" w:rsidRDefault="00830D2A" w:rsidP="00830D2A">
      <w:pPr>
        <w:rPr>
          <w:b/>
          <w:lang w:val="en-US"/>
        </w:rPr>
      </w:pPr>
      <w:r w:rsidRPr="00830D2A">
        <w:rPr>
          <w:b/>
          <w:lang w:val="en-US"/>
        </w:rPr>
        <w:t>Proposal 1: RAN2 is asked to consider specifying the possibility of having separate mobility settings when moving in vertical direction, exceeding a certain vertical speed.</w:t>
      </w:r>
    </w:p>
    <w:p w14:paraId="7BD56BE9" w14:textId="65F93682" w:rsidR="00830D2A" w:rsidRPr="00830D2A" w:rsidRDefault="00C84444" w:rsidP="00830D2A">
      <w:pPr>
        <w:rPr>
          <w:b/>
          <w:lang w:val="en-US"/>
        </w:rPr>
      </w:pPr>
      <w:r w:rsidRPr="00830D2A">
        <w:rPr>
          <w:b/>
          <w:lang w:val="en-US"/>
        </w:rPr>
        <w:t xml:space="preserve">Proposal </w:t>
      </w:r>
      <w:r>
        <w:rPr>
          <w:b/>
          <w:lang w:val="en-US"/>
        </w:rPr>
        <w:t>2</w:t>
      </w:r>
      <w:r w:rsidRPr="00830D2A">
        <w:rPr>
          <w:b/>
          <w:lang w:val="en-US"/>
        </w:rPr>
        <w:t xml:space="preserve">: </w:t>
      </w:r>
      <w:r w:rsidR="00834490" w:rsidRPr="00830D2A">
        <w:rPr>
          <w:b/>
          <w:lang w:val="en-US"/>
        </w:rPr>
        <w:t xml:space="preserve">RAN2 is asked to consider </w:t>
      </w:r>
      <w:r w:rsidR="00834490">
        <w:rPr>
          <w:b/>
          <w:lang w:val="en-US"/>
        </w:rPr>
        <w:t xml:space="preserve">introducing alternative measurement parameters, e.g. in </w:t>
      </w:r>
      <w:r w:rsidR="00834490" w:rsidRPr="00101029">
        <w:rPr>
          <w:b/>
          <w:i/>
          <w:lang w:val="en-US"/>
        </w:rPr>
        <w:t>MeasConfig</w:t>
      </w:r>
      <w:r w:rsidR="00834490">
        <w:rPr>
          <w:b/>
          <w:lang w:val="en-US"/>
        </w:rPr>
        <w:t>, used when UE reaches certain vertical speed.</w:t>
      </w:r>
      <w:r w:rsidR="00834490" w:rsidRPr="00830D2A">
        <w:rPr>
          <w:b/>
          <w:lang w:val="en-US"/>
        </w:rPr>
        <w:t xml:space="preserve"> </w:t>
      </w:r>
      <w:r w:rsidRPr="00830D2A">
        <w:rPr>
          <w:b/>
          <w:lang w:val="en-US"/>
        </w:rPr>
        <w:t xml:space="preserve"> </w:t>
      </w:r>
      <w:r w:rsidR="00830D2A" w:rsidRPr="00830D2A">
        <w:rPr>
          <w:b/>
          <w:lang w:val="en-US"/>
        </w:rPr>
        <w:t xml:space="preserve"> </w:t>
      </w:r>
    </w:p>
    <w:p w14:paraId="0FDCFAC2" w14:textId="77777777" w:rsidR="00CD4C7B" w:rsidRPr="006E13D1" w:rsidRDefault="00CD4C7B" w:rsidP="00CD4C7B">
      <w:pPr>
        <w:pStyle w:val="Heading1"/>
      </w:pPr>
      <w:r w:rsidRPr="006E13D1">
        <w:t>References</w:t>
      </w:r>
    </w:p>
    <w:p w14:paraId="391CFA18" w14:textId="70F3459B" w:rsidR="00382A4D" w:rsidRDefault="00382A4D" w:rsidP="00382A4D">
      <w:pPr>
        <w:spacing w:after="120"/>
        <w:jc w:val="both"/>
      </w:pPr>
      <w:r>
        <w:t xml:space="preserve">[1] </w:t>
      </w:r>
      <w:r>
        <w:tab/>
        <w:t xml:space="preserve">RP-172826, </w:t>
      </w:r>
      <w:r w:rsidRPr="00BA5F69">
        <w:rPr>
          <w:i/>
        </w:rPr>
        <w:t>WID on Enhanced LTE Support for Aerial Vehicles</w:t>
      </w:r>
      <w:r>
        <w:t>, Ericsson, RAN#78, Dec 2017.</w:t>
      </w:r>
    </w:p>
    <w:p w14:paraId="29BFDF82" w14:textId="0E15B88D" w:rsidR="00382A4D" w:rsidRDefault="00382A4D" w:rsidP="00382A4D">
      <w:r w:rsidRPr="007909CA">
        <w:rPr>
          <w:rFonts w:eastAsia="SimSun"/>
          <w:lang w:eastAsia="zh-CN"/>
        </w:rPr>
        <w:t xml:space="preserve">[2] </w:t>
      </w:r>
      <w:r w:rsidR="007909CA" w:rsidRPr="007909CA">
        <w:t>R2-1803138</w:t>
      </w:r>
      <w:r w:rsidR="007909CA">
        <w:t xml:space="preserve">, </w:t>
      </w:r>
      <w:r w:rsidR="007909CA" w:rsidRPr="00BA5F69">
        <w:rPr>
          <w:i/>
        </w:rPr>
        <w:t>Potential handover enhancements for aerial UE</w:t>
      </w:r>
      <w:r w:rsidR="007909CA">
        <w:t>, Sony, RAN2#101, March 2018.</w:t>
      </w:r>
    </w:p>
    <w:p w14:paraId="008B5982" w14:textId="400DFFDC" w:rsidR="0036706F" w:rsidRPr="00830D2A" w:rsidRDefault="009B2489" w:rsidP="00382A4D">
      <w:pPr>
        <w:rPr>
          <w:rFonts w:ascii="Arial" w:hAnsi="Arial" w:cs="Arial"/>
          <w:color w:val="006621"/>
          <w:sz w:val="21"/>
          <w:szCs w:val="21"/>
          <w:shd w:val="clear" w:color="auto" w:fill="FFFFFF"/>
        </w:rPr>
      </w:pPr>
      <w:r>
        <w:t>[3] Graham Wild, John Murray and Glenn Baxter, “</w:t>
      </w:r>
      <w:r w:rsidRPr="00BA5F69">
        <w:rPr>
          <w:i/>
        </w:rPr>
        <w:t>Exploring Civil Drone Accidents and Incidents to help prevent Potential Air Disasters</w:t>
      </w:r>
      <w:r>
        <w:t xml:space="preserve">”, Aerospace 2016,3,22, </w:t>
      </w:r>
      <w:r>
        <w:rPr>
          <w:rFonts w:ascii="Arial" w:hAnsi="Arial" w:cs="Arial"/>
          <w:color w:val="006621"/>
          <w:sz w:val="21"/>
          <w:szCs w:val="21"/>
          <w:shd w:val="clear" w:color="auto" w:fill="FFFFFF"/>
        </w:rPr>
        <w:t>www.mdpi.com/2226-4310/3/3/22/pdf .</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3AEC6" w14:textId="77777777" w:rsidR="00606089" w:rsidRDefault="00606089">
      <w:r>
        <w:separator/>
      </w:r>
    </w:p>
  </w:endnote>
  <w:endnote w:type="continuationSeparator" w:id="0">
    <w:p w14:paraId="595FAF2A" w14:textId="77777777" w:rsidR="00606089" w:rsidRDefault="00606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A1BEB" w14:textId="77777777" w:rsidR="00606089" w:rsidRDefault="00606089">
      <w:r>
        <w:separator/>
      </w:r>
    </w:p>
  </w:footnote>
  <w:footnote w:type="continuationSeparator" w:id="0">
    <w:p w14:paraId="73C2C6A5" w14:textId="77777777" w:rsidR="00606089" w:rsidRDefault="00606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cs="Times New Roman" w:hint="default"/>
      </w:rPr>
    </w:lvl>
    <w:lvl w:ilvl="1" w:tplc="A2F049F2">
      <w:numFmt w:val="bullet"/>
      <w:lvlText w:val="•"/>
      <w:lvlJc w:val="left"/>
      <w:pPr>
        <w:tabs>
          <w:tab w:val="num" w:pos="1080"/>
        </w:tabs>
        <w:ind w:left="1080" w:hanging="360"/>
      </w:pPr>
      <w:rPr>
        <w:rFonts w:ascii="Arial" w:hAnsi="Arial" w:cs="Times New Roman" w:hint="default"/>
      </w:rPr>
    </w:lvl>
    <w:lvl w:ilvl="2" w:tplc="3126CB62">
      <w:start w:val="1"/>
      <w:numFmt w:val="bullet"/>
      <w:lvlText w:val="•"/>
      <w:lvlJc w:val="left"/>
      <w:pPr>
        <w:tabs>
          <w:tab w:val="num" w:pos="1800"/>
        </w:tabs>
        <w:ind w:left="1800" w:hanging="360"/>
      </w:pPr>
      <w:rPr>
        <w:rFonts w:ascii="Arial" w:hAnsi="Arial" w:cs="Times New Roman" w:hint="default"/>
      </w:rPr>
    </w:lvl>
    <w:lvl w:ilvl="3" w:tplc="F2F69048">
      <w:start w:val="1"/>
      <w:numFmt w:val="bullet"/>
      <w:lvlText w:val="•"/>
      <w:lvlJc w:val="left"/>
      <w:pPr>
        <w:tabs>
          <w:tab w:val="num" w:pos="2520"/>
        </w:tabs>
        <w:ind w:left="2520" w:hanging="360"/>
      </w:pPr>
      <w:rPr>
        <w:rFonts w:ascii="Arial" w:hAnsi="Arial" w:cs="Times New Roman" w:hint="default"/>
      </w:rPr>
    </w:lvl>
    <w:lvl w:ilvl="4" w:tplc="BAE67DCE">
      <w:start w:val="1"/>
      <w:numFmt w:val="bullet"/>
      <w:lvlText w:val="•"/>
      <w:lvlJc w:val="left"/>
      <w:pPr>
        <w:tabs>
          <w:tab w:val="num" w:pos="3240"/>
        </w:tabs>
        <w:ind w:left="3240" w:hanging="360"/>
      </w:pPr>
      <w:rPr>
        <w:rFonts w:ascii="Arial" w:hAnsi="Arial" w:cs="Times New Roman" w:hint="default"/>
      </w:rPr>
    </w:lvl>
    <w:lvl w:ilvl="5" w:tplc="E7B245E6">
      <w:start w:val="1"/>
      <w:numFmt w:val="bullet"/>
      <w:lvlText w:val="•"/>
      <w:lvlJc w:val="left"/>
      <w:pPr>
        <w:tabs>
          <w:tab w:val="num" w:pos="3960"/>
        </w:tabs>
        <w:ind w:left="3960" w:hanging="360"/>
      </w:pPr>
      <w:rPr>
        <w:rFonts w:ascii="Arial" w:hAnsi="Arial" w:cs="Times New Roman" w:hint="default"/>
      </w:rPr>
    </w:lvl>
    <w:lvl w:ilvl="6" w:tplc="00C4D818">
      <w:start w:val="1"/>
      <w:numFmt w:val="bullet"/>
      <w:lvlText w:val="•"/>
      <w:lvlJc w:val="left"/>
      <w:pPr>
        <w:tabs>
          <w:tab w:val="num" w:pos="4680"/>
        </w:tabs>
        <w:ind w:left="4680" w:hanging="360"/>
      </w:pPr>
      <w:rPr>
        <w:rFonts w:ascii="Arial" w:hAnsi="Arial" w:cs="Times New Roman" w:hint="default"/>
      </w:rPr>
    </w:lvl>
    <w:lvl w:ilvl="7" w:tplc="A5CABE60">
      <w:start w:val="1"/>
      <w:numFmt w:val="bullet"/>
      <w:lvlText w:val="•"/>
      <w:lvlJc w:val="left"/>
      <w:pPr>
        <w:tabs>
          <w:tab w:val="num" w:pos="5400"/>
        </w:tabs>
        <w:ind w:left="5400" w:hanging="360"/>
      </w:pPr>
      <w:rPr>
        <w:rFonts w:ascii="Arial" w:hAnsi="Arial" w:cs="Times New Roman" w:hint="default"/>
      </w:rPr>
    </w:lvl>
    <w:lvl w:ilvl="8" w:tplc="E2567D58">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6513455E"/>
    <w:multiLevelType w:val="hybridMultilevel"/>
    <w:tmpl w:val="DE702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21E2809"/>
    <w:multiLevelType w:val="hybridMultilevel"/>
    <w:tmpl w:val="4BE03FB4"/>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6"/>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7889"/>
    <w:rsid w:val="00033397"/>
    <w:rsid w:val="00040095"/>
    <w:rsid w:val="00080512"/>
    <w:rsid w:val="00090468"/>
    <w:rsid w:val="000B7BCF"/>
    <w:rsid w:val="000C522B"/>
    <w:rsid w:val="000D58AB"/>
    <w:rsid w:val="00112F1A"/>
    <w:rsid w:val="00145075"/>
    <w:rsid w:val="001741A0"/>
    <w:rsid w:val="00175FA0"/>
    <w:rsid w:val="00181130"/>
    <w:rsid w:val="00194CD0"/>
    <w:rsid w:val="001B49C9"/>
    <w:rsid w:val="001C4F79"/>
    <w:rsid w:val="001F168B"/>
    <w:rsid w:val="001F1C63"/>
    <w:rsid w:val="001F7831"/>
    <w:rsid w:val="00204045"/>
    <w:rsid w:val="0020712B"/>
    <w:rsid w:val="0022606D"/>
    <w:rsid w:val="00231728"/>
    <w:rsid w:val="002747EC"/>
    <w:rsid w:val="002855BF"/>
    <w:rsid w:val="002F0D22"/>
    <w:rsid w:val="003172DC"/>
    <w:rsid w:val="003246E6"/>
    <w:rsid w:val="00325AE3"/>
    <w:rsid w:val="00326069"/>
    <w:rsid w:val="0035462D"/>
    <w:rsid w:val="00364B41"/>
    <w:rsid w:val="0036706F"/>
    <w:rsid w:val="00382A4D"/>
    <w:rsid w:val="00387C72"/>
    <w:rsid w:val="003B40AD"/>
    <w:rsid w:val="003C4E37"/>
    <w:rsid w:val="003D7980"/>
    <w:rsid w:val="003E16BE"/>
    <w:rsid w:val="003E65EB"/>
    <w:rsid w:val="004006E8"/>
    <w:rsid w:val="00401855"/>
    <w:rsid w:val="00477455"/>
    <w:rsid w:val="004A1C9A"/>
    <w:rsid w:val="004A1F7B"/>
    <w:rsid w:val="004C44D2"/>
    <w:rsid w:val="004D3578"/>
    <w:rsid w:val="004D380D"/>
    <w:rsid w:val="004E213A"/>
    <w:rsid w:val="004E7ED9"/>
    <w:rsid w:val="00500B87"/>
    <w:rsid w:val="00503171"/>
    <w:rsid w:val="00506C28"/>
    <w:rsid w:val="00534DA0"/>
    <w:rsid w:val="00543E6C"/>
    <w:rsid w:val="00565087"/>
    <w:rsid w:val="0056573F"/>
    <w:rsid w:val="005B5666"/>
    <w:rsid w:val="00606089"/>
    <w:rsid w:val="00611566"/>
    <w:rsid w:val="00646D99"/>
    <w:rsid w:val="00656910"/>
    <w:rsid w:val="00683E9C"/>
    <w:rsid w:val="006C66D8"/>
    <w:rsid w:val="006D1E24"/>
    <w:rsid w:val="006E1417"/>
    <w:rsid w:val="006F6A2C"/>
    <w:rsid w:val="00706D9B"/>
    <w:rsid w:val="00710201"/>
    <w:rsid w:val="007342B5"/>
    <w:rsid w:val="00734A5B"/>
    <w:rsid w:val="00744E76"/>
    <w:rsid w:val="00757D40"/>
    <w:rsid w:val="00781F0F"/>
    <w:rsid w:val="0078727C"/>
    <w:rsid w:val="0079049D"/>
    <w:rsid w:val="007909CA"/>
    <w:rsid w:val="00793DC5"/>
    <w:rsid w:val="007B18D8"/>
    <w:rsid w:val="007C095F"/>
    <w:rsid w:val="008028A4"/>
    <w:rsid w:val="00813245"/>
    <w:rsid w:val="00830D2A"/>
    <w:rsid w:val="00834490"/>
    <w:rsid w:val="00872012"/>
    <w:rsid w:val="008768CA"/>
    <w:rsid w:val="00877EF9"/>
    <w:rsid w:val="00880559"/>
    <w:rsid w:val="008B5306"/>
    <w:rsid w:val="008D2E4D"/>
    <w:rsid w:val="0090271F"/>
    <w:rsid w:val="00902DB9"/>
    <w:rsid w:val="0090466A"/>
    <w:rsid w:val="00934EAF"/>
    <w:rsid w:val="00936071"/>
    <w:rsid w:val="00940212"/>
    <w:rsid w:val="00942EC2"/>
    <w:rsid w:val="00961B32"/>
    <w:rsid w:val="00970DB3"/>
    <w:rsid w:val="00974BB0"/>
    <w:rsid w:val="009A0AF3"/>
    <w:rsid w:val="009A4E5C"/>
    <w:rsid w:val="009B07CD"/>
    <w:rsid w:val="009B2489"/>
    <w:rsid w:val="009C19E9"/>
    <w:rsid w:val="009D1180"/>
    <w:rsid w:val="009D74A6"/>
    <w:rsid w:val="00A100B3"/>
    <w:rsid w:val="00A10F02"/>
    <w:rsid w:val="00A204CA"/>
    <w:rsid w:val="00A53724"/>
    <w:rsid w:val="00A57693"/>
    <w:rsid w:val="00A82346"/>
    <w:rsid w:val="00A9671C"/>
    <w:rsid w:val="00AA1553"/>
    <w:rsid w:val="00AA2CB8"/>
    <w:rsid w:val="00B05962"/>
    <w:rsid w:val="00B15449"/>
    <w:rsid w:val="00B27303"/>
    <w:rsid w:val="00B47FD1"/>
    <w:rsid w:val="00B516BB"/>
    <w:rsid w:val="00B5394C"/>
    <w:rsid w:val="00BA5F69"/>
    <w:rsid w:val="00BC0035"/>
    <w:rsid w:val="00BC1BC1"/>
    <w:rsid w:val="00BC3555"/>
    <w:rsid w:val="00C12B51"/>
    <w:rsid w:val="00C24650"/>
    <w:rsid w:val="00C33079"/>
    <w:rsid w:val="00C83A13"/>
    <w:rsid w:val="00C84444"/>
    <w:rsid w:val="00C9068C"/>
    <w:rsid w:val="00C92967"/>
    <w:rsid w:val="00CA3D0C"/>
    <w:rsid w:val="00CA654B"/>
    <w:rsid w:val="00CD4C7B"/>
    <w:rsid w:val="00D246F2"/>
    <w:rsid w:val="00D33BE3"/>
    <w:rsid w:val="00D3465D"/>
    <w:rsid w:val="00D34A3A"/>
    <w:rsid w:val="00D3792D"/>
    <w:rsid w:val="00D55E47"/>
    <w:rsid w:val="00D62E19"/>
    <w:rsid w:val="00D738D6"/>
    <w:rsid w:val="00D80795"/>
    <w:rsid w:val="00D854BE"/>
    <w:rsid w:val="00D87E00"/>
    <w:rsid w:val="00D9134D"/>
    <w:rsid w:val="00D962E5"/>
    <w:rsid w:val="00D96D11"/>
    <w:rsid w:val="00DA7A03"/>
    <w:rsid w:val="00DB0DB8"/>
    <w:rsid w:val="00DB1818"/>
    <w:rsid w:val="00DC309B"/>
    <w:rsid w:val="00DC4DA2"/>
    <w:rsid w:val="00DD7A55"/>
    <w:rsid w:val="00E62835"/>
    <w:rsid w:val="00E77645"/>
    <w:rsid w:val="00E83697"/>
    <w:rsid w:val="00EC4A25"/>
    <w:rsid w:val="00ED4F81"/>
    <w:rsid w:val="00F025A2"/>
    <w:rsid w:val="00F07388"/>
    <w:rsid w:val="00F2026E"/>
    <w:rsid w:val="00F2210A"/>
    <w:rsid w:val="00F37743"/>
    <w:rsid w:val="00F54A3D"/>
    <w:rsid w:val="00F54CB0"/>
    <w:rsid w:val="00F653B8"/>
    <w:rsid w:val="00F71B89"/>
    <w:rsid w:val="00F7353C"/>
    <w:rsid w:val="00F76F8F"/>
    <w:rsid w:val="00F82C5E"/>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uiPriority w:val="59"/>
    <w:rsid w:val="00181130"/>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locked/>
    <w:rsid w:val="00BC1BC1"/>
    <w:rPr>
      <w:lang w:eastAsia="en-US"/>
    </w:rPr>
  </w:style>
  <w:style w:type="character" w:customStyle="1" w:styleId="B2Char">
    <w:name w:val="B2 Char"/>
    <w:link w:val="B2"/>
    <w:locked/>
    <w:rsid w:val="00BC1BC1"/>
    <w:rPr>
      <w:lang w:eastAsia="en-US"/>
    </w:rPr>
  </w:style>
  <w:style w:type="character" w:customStyle="1" w:styleId="ListParagraphChar">
    <w:name w:val="List Paragraph Char"/>
    <w:link w:val="ListParagraph"/>
    <w:uiPriority w:val="34"/>
    <w:qFormat/>
    <w:locked/>
    <w:rsid w:val="00382A4D"/>
    <w:rPr>
      <w:rFonts w:asciiTheme="minorHAnsi" w:eastAsia="Calibri" w:hAnsiTheme="minorHAnsi" w:cstheme="minorBidi"/>
      <w:sz w:val="22"/>
      <w:szCs w:val="22"/>
    </w:rPr>
  </w:style>
  <w:style w:type="paragraph" w:styleId="ListParagraph">
    <w:name w:val="List Paragraph"/>
    <w:basedOn w:val="Normal"/>
    <w:link w:val="ListParagraphChar"/>
    <w:uiPriority w:val="34"/>
    <w:qFormat/>
    <w:rsid w:val="00382A4D"/>
    <w:pPr>
      <w:spacing w:after="0" w:line="256" w:lineRule="auto"/>
      <w:ind w:left="720"/>
    </w:pPr>
    <w:rPr>
      <w:rFonts w:asciiTheme="minorHAnsi" w:eastAsia="Calibri" w:hAnsiTheme="minorHAnsi" w:cstheme="minorBidi"/>
      <w:sz w:val="22"/>
      <w:szCs w:val="22"/>
      <w:lang w:eastAsia="en-GB"/>
    </w:rPr>
  </w:style>
  <w:style w:type="character" w:styleId="UnresolvedMention">
    <w:name w:val="Unresolved Mention"/>
    <w:basedOn w:val="DefaultParagraphFont"/>
    <w:rsid w:val="009B2489"/>
    <w:rPr>
      <w:color w:val="808080"/>
      <w:shd w:val="clear" w:color="auto" w:fill="E6E6E6"/>
    </w:rPr>
  </w:style>
  <w:style w:type="character" w:customStyle="1" w:styleId="PLChar">
    <w:name w:val="PL Char"/>
    <w:link w:val="PL"/>
    <w:rsid w:val="0083449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87527">
      <w:bodyDiv w:val="1"/>
      <w:marLeft w:val="0"/>
      <w:marRight w:val="0"/>
      <w:marTop w:val="0"/>
      <w:marBottom w:val="0"/>
      <w:divBdr>
        <w:top w:val="none" w:sz="0" w:space="0" w:color="auto"/>
        <w:left w:val="none" w:sz="0" w:space="0" w:color="auto"/>
        <w:bottom w:val="none" w:sz="0" w:space="0" w:color="auto"/>
        <w:right w:val="none" w:sz="0" w:space="0" w:color="auto"/>
      </w:divBdr>
    </w:div>
    <w:div w:id="232274256">
      <w:bodyDiv w:val="1"/>
      <w:marLeft w:val="0"/>
      <w:marRight w:val="0"/>
      <w:marTop w:val="0"/>
      <w:marBottom w:val="0"/>
      <w:divBdr>
        <w:top w:val="none" w:sz="0" w:space="0" w:color="auto"/>
        <w:left w:val="none" w:sz="0" w:space="0" w:color="auto"/>
        <w:bottom w:val="none" w:sz="0" w:space="0" w:color="auto"/>
        <w:right w:val="none" w:sz="0" w:space="0" w:color="auto"/>
      </w:divBdr>
    </w:div>
    <w:div w:id="279340447">
      <w:bodyDiv w:val="1"/>
      <w:marLeft w:val="0"/>
      <w:marRight w:val="0"/>
      <w:marTop w:val="0"/>
      <w:marBottom w:val="0"/>
      <w:divBdr>
        <w:top w:val="none" w:sz="0" w:space="0" w:color="auto"/>
        <w:left w:val="none" w:sz="0" w:space="0" w:color="auto"/>
        <w:bottom w:val="none" w:sz="0" w:space="0" w:color="auto"/>
        <w:right w:val="none" w:sz="0" w:space="0" w:color="auto"/>
      </w:divBdr>
    </w:div>
    <w:div w:id="462504227">
      <w:bodyDiv w:val="1"/>
      <w:marLeft w:val="0"/>
      <w:marRight w:val="0"/>
      <w:marTop w:val="0"/>
      <w:marBottom w:val="0"/>
      <w:divBdr>
        <w:top w:val="none" w:sz="0" w:space="0" w:color="auto"/>
        <w:left w:val="none" w:sz="0" w:space="0" w:color="auto"/>
        <w:bottom w:val="none" w:sz="0" w:space="0" w:color="auto"/>
        <w:right w:val="none" w:sz="0" w:space="0" w:color="auto"/>
      </w:divBdr>
    </w:div>
    <w:div w:id="6369558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052050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hart" Target="charts/chart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Book2"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autoTitleDeleted val="1"/>
    <c:plotArea>
      <c:layout>
        <c:manualLayout>
          <c:layoutTarget val="inner"/>
          <c:xMode val="edge"/>
          <c:yMode val="edge"/>
          <c:x val="8.8287409933630906E-2"/>
          <c:y val="3.3872209391839873E-2"/>
          <c:w val="0.89302893826169816"/>
          <c:h val="0.84517805944002955"/>
        </c:manualLayout>
      </c:layout>
      <c:barChart>
        <c:barDir val="col"/>
        <c:grouping val="clustered"/>
        <c:varyColors val="0"/>
        <c:ser>
          <c:idx val="1"/>
          <c:order val="0"/>
          <c:tx>
            <c:v>1,5 m</c:v>
          </c:tx>
          <c:spPr>
            <a:solidFill>
              <a:schemeClr val="accent1">
                <a:tint val="56000"/>
              </a:schemeClr>
            </a:solidFill>
            <a:ln>
              <a:noFill/>
            </a:ln>
            <a:effectLst/>
          </c:spPr>
          <c:invertIfNegative val="0"/>
          <c:cat>
            <c:numRef>
              <c:f>Sheet2!$C$2:$M$2</c:f>
              <c:numCache>
                <c:formatCode>General</c:formatCode>
                <c:ptCount val="11"/>
                <c:pt idx="0">
                  <c:v>9</c:v>
                </c:pt>
                <c:pt idx="1">
                  <c:v>46</c:v>
                </c:pt>
                <c:pt idx="2">
                  <c:v>52</c:v>
                </c:pt>
                <c:pt idx="3">
                  <c:v>54</c:v>
                </c:pt>
                <c:pt idx="4">
                  <c:v>57</c:v>
                </c:pt>
                <c:pt idx="5">
                  <c:v>61</c:v>
                </c:pt>
                <c:pt idx="6">
                  <c:v>64</c:v>
                </c:pt>
                <c:pt idx="7">
                  <c:v>68</c:v>
                </c:pt>
                <c:pt idx="8">
                  <c:v>72</c:v>
                </c:pt>
                <c:pt idx="9">
                  <c:v>81</c:v>
                </c:pt>
                <c:pt idx="10">
                  <c:v>156</c:v>
                </c:pt>
              </c:numCache>
            </c:numRef>
          </c:cat>
          <c:val>
            <c:numRef>
              <c:f>Sheet2!$C$3:$M$3</c:f>
              <c:numCache>
                <c:formatCode>General</c:formatCode>
                <c:ptCount val="11"/>
                <c:pt idx="0">
                  <c:v>0.14834867352463454</c:v>
                </c:pt>
                <c:pt idx="1">
                  <c:v>0.13102328099621008</c:v>
                </c:pt>
                <c:pt idx="2">
                  <c:v>0.17975094748240389</c:v>
                </c:pt>
                <c:pt idx="3">
                  <c:v>9.0958310774228474E-2</c:v>
                </c:pt>
                <c:pt idx="4">
                  <c:v>0.24201407688142934</c:v>
                </c:pt>
                <c:pt idx="5">
                  <c:v>9.204114780725501E-3</c:v>
                </c:pt>
                <c:pt idx="6">
                  <c:v>0.17487818083378451</c:v>
                </c:pt>
                <c:pt idx="7">
                  <c:v>2.2198159177043854E-2</c:v>
                </c:pt>
                <c:pt idx="8">
                  <c:v>1.6242555495397943E-3</c:v>
                </c:pt>
                <c:pt idx="9">
                  <c:v>0</c:v>
                </c:pt>
                <c:pt idx="10">
                  <c:v>0</c:v>
                </c:pt>
              </c:numCache>
            </c:numRef>
          </c:val>
          <c:extLst>
            <c:ext xmlns:c16="http://schemas.microsoft.com/office/drawing/2014/chart" uri="{C3380CC4-5D6E-409C-BE32-E72D297353CC}">
              <c16:uniqueId val="{00000000-1ED2-48D5-8E4F-641DA74E312B}"/>
            </c:ext>
          </c:extLst>
        </c:ser>
        <c:ser>
          <c:idx val="3"/>
          <c:order val="2"/>
          <c:tx>
            <c:v>10 m</c:v>
          </c:tx>
          <c:spPr>
            <a:solidFill>
              <a:schemeClr val="accent1">
                <a:tint val="81000"/>
              </a:schemeClr>
            </a:solidFill>
            <a:ln>
              <a:noFill/>
            </a:ln>
            <a:effectLst/>
          </c:spPr>
          <c:invertIfNegative val="0"/>
          <c:cat>
            <c:numRef>
              <c:f>Sheet2!$C$2:$M$2</c:f>
              <c:numCache>
                <c:formatCode>General</c:formatCode>
                <c:ptCount val="11"/>
                <c:pt idx="0">
                  <c:v>9</c:v>
                </c:pt>
                <c:pt idx="1">
                  <c:v>46</c:v>
                </c:pt>
                <c:pt idx="2">
                  <c:v>52</c:v>
                </c:pt>
                <c:pt idx="3">
                  <c:v>54</c:v>
                </c:pt>
                <c:pt idx="4">
                  <c:v>57</c:v>
                </c:pt>
                <c:pt idx="5">
                  <c:v>61</c:v>
                </c:pt>
                <c:pt idx="6">
                  <c:v>64</c:v>
                </c:pt>
                <c:pt idx="7">
                  <c:v>68</c:v>
                </c:pt>
                <c:pt idx="8">
                  <c:v>72</c:v>
                </c:pt>
                <c:pt idx="9">
                  <c:v>81</c:v>
                </c:pt>
                <c:pt idx="10">
                  <c:v>156</c:v>
                </c:pt>
              </c:numCache>
            </c:numRef>
          </c:cat>
          <c:val>
            <c:numRef>
              <c:f>Sheet2!$C$5:$M$5</c:f>
              <c:numCache>
                <c:formatCode>General</c:formatCode>
                <c:ptCount val="11"/>
                <c:pt idx="0">
                  <c:v>0.27920685959271169</c:v>
                </c:pt>
                <c:pt idx="1">
                  <c:v>0.15541264737406216</c:v>
                </c:pt>
                <c:pt idx="2">
                  <c:v>4.6623794212218649E-2</c:v>
                </c:pt>
                <c:pt idx="3">
                  <c:v>2.6795284030010718E-3</c:v>
                </c:pt>
                <c:pt idx="4">
                  <c:v>0.33172561629153269</c:v>
                </c:pt>
                <c:pt idx="5">
                  <c:v>2.4115755627009645E-2</c:v>
                </c:pt>
                <c:pt idx="6">
                  <c:v>0.16023579849946409</c:v>
                </c:pt>
                <c:pt idx="7">
                  <c:v>0</c:v>
                </c:pt>
                <c:pt idx="8">
                  <c:v>0</c:v>
                </c:pt>
                <c:pt idx="9">
                  <c:v>0</c:v>
                </c:pt>
                <c:pt idx="10">
                  <c:v>0</c:v>
                </c:pt>
              </c:numCache>
            </c:numRef>
          </c:val>
          <c:extLst>
            <c:ext xmlns:c16="http://schemas.microsoft.com/office/drawing/2014/chart" uri="{C3380CC4-5D6E-409C-BE32-E72D297353CC}">
              <c16:uniqueId val="{00000001-1ED2-48D5-8E4F-641DA74E312B}"/>
            </c:ext>
          </c:extLst>
        </c:ser>
        <c:ser>
          <c:idx val="5"/>
          <c:order val="4"/>
          <c:tx>
            <c:v>20 m</c:v>
          </c:tx>
          <c:spPr>
            <a:solidFill>
              <a:schemeClr val="accent1">
                <a:shade val="93000"/>
              </a:schemeClr>
            </a:solidFill>
            <a:ln>
              <a:noFill/>
            </a:ln>
            <a:effectLst/>
          </c:spPr>
          <c:invertIfNegative val="0"/>
          <c:cat>
            <c:numRef>
              <c:f>Sheet2!$C$2:$M$2</c:f>
              <c:numCache>
                <c:formatCode>General</c:formatCode>
                <c:ptCount val="11"/>
                <c:pt idx="0">
                  <c:v>9</c:v>
                </c:pt>
                <c:pt idx="1">
                  <c:v>46</c:v>
                </c:pt>
                <c:pt idx="2">
                  <c:v>52</c:v>
                </c:pt>
                <c:pt idx="3">
                  <c:v>54</c:v>
                </c:pt>
                <c:pt idx="4">
                  <c:v>57</c:v>
                </c:pt>
                <c:pt idx="5">
                  <c:v>61</c:v>
                </c:pt>
                <c:pt idx="6">
                  <c:v>64</c:v>
                </c:pt>
                <c:pt idx="7">
                  <c:v>68</c:v>
                </c:pt>
                <c:pt idx="8">
                  <c:v>72</c:v>
                </c:pt>
                <c:pt idx="9">
                  <c:v>81</c:v>
                </c:pt>
                <c:pt idx="10">
                  <c:v>156</c:v>
                </c:pt>
              </c:numCache>
            </c:numRef>
          </c:cat>
          <c:val>
            <c:numRef>
              <c:f>Sheet2!$C$7:$M$7</c:f>
              <c:numCache>
                <c:formatCode>General</c:formatCode>
                <c:ptCount val="11"/>
                <c:pt idx="0">
                  <c:v>0.13276686139139671</c:v>
                </c:pt>
                <c:pt idx="1">
                  <c:v>1.0621348911311736E-3</c:v>
                </c:pt>
                <c:pt idx="2">
                  <c:v>0.16728624535315986</c:v>
                </c:pt>
                <c:pt idx="3">
                  <c:v>9.5592140201805637E-3</c:v>
                </c:pt>
                <c:pt idx="4">
                  <c:v>0.31332979288369622</c:v>
                </c:pt>
                <c:pt idx="5">
                  <c:v>0</c:v>
                </c:pt>
                <c:pt idx="6">
                  <c:v>0.36006372809346787</c:v>
                </c:pt>
                <c:pt idx="7">
                  <c:v>0</c:v>
                </c:pt>
                <c:pt idx="8">
                  <c:v>1.5932023366967606E-2</c:v>
                </c:pt>
                <c:pt idx="9">
                  <c:v>0</c:v>
                </c:pt>
                <c:pt idx="10">
                  <c:v>0</c:v>
                </c:pt>
              </c:numCache>
            </c:numRef>
          </c:val>
          <c:extLst>
            <c:ext xmlns:c16="http://schemas.microsoft.com/office/drawing/2014/chart" uri="{C3380CC4-5D6E-409C-BE32-E72D297353CC}">
              <c16:uniqueId val="{00000002-1ED2-48D5-8E4F-641DA74E312B}"/>
            </c:ext>
          </c:extLst>
        </c:ser>
        <c:ser>
          <c:idx val="7"/>
          <c:order val="6"/>
          <c:tx>
            <c:v>30 m</c:v>
          </c:tx>
          <c:spPr>
            <a:solidFill>
              <a:schemeClr val="accent1">
                <a:shade val="68000"/>
              </a:schemeClr>
            </a:solidFill>
            <a:ln>
              <a:noFill/>
            </a:ln>
            <a:effectLst/>
          </c:spPr>
          <c:invertIfNegative val="0"/>
          <c:cat>
            <c:numRef>
              <c:f>Sheet2!$C$2:$M$2</c:f>
              <c:numCache>
                <c:formatCode>General</c:formatCode>
                <c:ptCount val="11"/>
                <c:pt idx="0">
                  <c:v>9</c:v>
                </c:pt>
                <c:pt idx="1">
                  <c:v>46</c:v>
                </c:pt>
                <c:pt idx="2">
                  <c:v>52</c:v>
                </c:pt>
                <c:pt idx="3">
                  <c:v>54</c:v>
                </c:pt>
                <c:pt idx="4">
                  <c:v>57</c:v>
                </c:pt>
                <c:pt idx="5">
                  <c:v>61</c:v>
                </c:pt>
                <c:pt idx="6">
                  <c:v>64</c:v>
                </c:pt>
                <c:pt idx="7">
                  <c:v>68</c:v>
                </c:pt>
                <c:pt idx="8">
                  <c:v>72</c:v>
                </c:pt>
                <c:pt idx="9">
                  <c:v>81</c:v>
                </c:pt>
                <c:pt idx="10">
                  <c:v>156</c:v>
                </c:pt>
              </c:numCache>
            </c:numRef>
          </c:cat>
          <c:val>
            <c:numRef>
              <c:f>Sheet2!$C$9:$M$9</c:f>
              <c:numCache>
                <c:formatCode>General</c:formatCode>
                <c:ptCount val="11"/>
                <c:pt idx="0">
                  <c:v>0.22946611909650924</c:v>
                </c:pt>
                <c:pt idx="1">
                  <c:v>0</c:v>
                </c:pt>
                <c:pt idx="2">
                  <c:v>3.3880903490759756E-2</c:v>
                </c:pt>
                <c:pt idx="3">
                  <c:v>6.1601642710472282E-3</c:v>
                </c:pt>
                <c:pt idx="4">
                  <c:v>0.32648870636550309</c:v>
                </c:pt>
                <c:pt idx="5">
                  <c:v>8.3675564681724851E-2</c:v>
                </c:pt>
                <c:pt idx="6">
                  <c:v>0.26745379876796715</c:v>
                </c:pt>
                <c:pt idx="7">
                  <c:v>0</c:v>
                </c:pt>
                <c:pt idx="8">
                  <c:v>5.2874743326488706E-2</c:v>
                </c:pt>
                <c:pt idx="9">
                  <c:v>0</c:v>
                </c:pt>
                <c:pt idx="10">
                  <c:v>0</c:v>
                </c:pt>
              </c:numCache>
            </c:numRef>
          </c:val>
          <c:extLst>
            <c:ext xmlns:c16="http://schemas.microsoft.com/office/drawing/2014/chart" uri="{C3380CC4-5D6E-409C-BE32-E72D297353CC}">
              <c16:uniqueId val="{00000003-1ED2-48D5-8E4F-641DA74E312B}"/>
            </c:ext>
          </c:extLst>
        </c:ser>
        <c:ser>
          <c:idx val="9"/>
          <c:order val="8"/>
          <c:tx>
            <c:v>40 m</c:v>
          </c:tx>
          <c:spPr>
            <a:solidFill>
              <a:schemeClr val="accent1">
                <a:shade val="42000"/>
              </a:schemeClr>
            </a:solidFill>
            <a:ln>
              <a:noFill/>
            </a:ln>
            <a:effectLst/>
          </c:spPr>
          <c:invertIfNegative val="0"/>
          <c:cat>
            <c:numRef>
              <c:f>Sheet2!$C$2:$M$2</c:f>
              <c:numCache>
                <c:formatCode>General</c:formatCode>
                <c:ptCount val="11"/>
                <c:pt idx="0">
                  <c:v>9</c:v>
                </c:pt>
                <c:pt idx="1">
                  <c:v>46</c:v>
                </c:pt>
                <c:pt idx="2">
                  <c:v>52</c:v>
                </c:pt>
                <c:pt idx="3">
                  <c:v>54</c:v>
                </c:pt>
                <c:pt idx="4">
                  <c:v>57</c:v>
                </c:pt>
                <c:pt idx="5">
                  <c:v>61</c:v>
                </c:pt>
                <c:pt idx="6">
                  <c:v>64</c:v>
                </c:pt>
                <c:pt idx="7">
                  <c:v>68</c:v>
                </c:pt>
                <c:pt idx="8">
                  <c:v>72</c:v>
                </c:pt>
                <c:pt idx="9">
                  <c:v>81</c:v>
                </c:pt>
                <c:pt idx="10">
                  <c:v>156</c:v>
                </c:pt>
              </c:numCache>
            </c:numRef>
          </c:cat>
          <c:val>
            <c:numRef>
              <c:f>Sheet2!$C$11:$M$11</c:f>
              <c:numCache>
                <c:formatCode>General</c:formatCode>
                <c:ptCount val="11"/>
                <c:pt idx="0">
                  <c:v>0.10959814015277317</c:v>
                </c:pt>
                <c:pt idx="1">
                  <c:v>2.4244437064098307E-2</c:v>
                </c:pt>
                <c:pt idx="2">
                  <c:v>0</c:v>
                </c:pt>
                <c:pt idx="3">
                  <c:v>1.8930587844569909E-2</c:v>
                </c:pt>
                <c:pt idx="4">
                  <c:v>3.3211557622052476E-4</c:v>
                </c:pt>
                <c:pt idx="5">
                  <c:v>7.1072733311192293E-2</c:v>
                </c:pt>
                <c:pt idx="6">
                  <c:v>0.26602457655264033</c:v>
                </c:pt>
                <c:pt idx="7">
                  <c:v>0</c:v>
                </c:pt>
                <c:pt idx="8">
                  <c:v>0.18332779807372965</c:v>
                </c:pt>
                <c:pt idx="9">
                  <c:v>9.2328130189305885E-2</c:v>
                </c:pt>
                <c:pt idx="10">
                  <c:v>0.23414148123546993</c:v>
                </c:pt>
              </c:numCache>
            </c:numRef>
          </c:val>
          <c:extLst>
            <c:ext xmlns:c16="http://schemas.microsoft.com/office/drawing/2014/chart" uri="{C3380CC4-5D6E-409C-BE32-E72D297353CC}">
              <c16:uniqueId val="{00000004-1ED2-48D5-8E4F-641DA74E312B}"/>
            </c:ext>
          </c:extLst>
        </c:ser>
        <c:dLbls>
          <c:showLegendKey val="0"/>
          <c:showVal val="0"/>
          <c:showCatName val="0"/>
          <c:showSerName val="0"/>
          <c:showPercent val="0"/>
          <c:showBubbleSize val="0"/>
        </c:dLbls>
        <c:gapWidth val="219"/>
        <c:overlap val="-27"/>
        <c:axId val="537208424"/>
        <c:axId val="537200880"/>
        <c:extLst>
          <c:ext xmlns:c15="http://schemas.microsoft.com/office/drawing/2012/chart" uri="{02D57815-91ED-43cb-92C2-25804820EDAC}">
            <c15:filteredBarSeries>
              <c15:ser>
                <c:idx val="2"/>
                <c:order val="1"/>
                <c:tx>
                  <c:v>5 m</c:v>
                </c:tx>
                <c:spPr>
                  <a:solidFill>
                    <a:schemeClr val="accent1">
                      <a:tint val="69000"/>
                    </a:schemeClr>
                  </a:solidFill>
                  <a:ln>
                    <a:noFill/>
                  </a:ln>
                  <a:effectLst/>
                </c:spPr>
                <c:invertIfNegative val="0"/>
                <c:cat>
                  <c:numRef>
                    <c:extLst>
                      <c:ext uri="{02D57815-91ED-43cb-92C2-25804820EDAC}">
                        <c15:formulaRef>
                          <c15:sqref>Sheet2!$C$2:$M$2</c15:sqref>
                        </c15:formulaRef>
                      </c:ext>
                    </c:extLst>
                    <c:numCache>
                      <c:formatCode>General</c:formatCode>
                      <c:ptCount val="11"/>
                      <c:pt idx="0">
                        <c:v>9</c:v>
                      </c:pt>
                      <c:pt idx="1">
                        <c:v>46</c:v>
                      </c:pt>
                      <c:pt idx="2">
                        <c:v>52</c:v>
                      </c:pt>
                      <c:pt idx="3">
                        <c:v>54</c:v>
                      </c:pt>
                      <c:pt idx="4">
                        <c:v>57</c:v>
                      </c:pt>
                      <c:pt idx="5">
                        <c:v>61</c:v>
                      </c:pt>
                      <c:pt idx="6">
                        <c:v>64</c:v>
                      </c:pt>
                      <c:pt idx="7">
                        <c:v>68</c:v>
                      </c:pt>
                      <c:pt idx="8">
                        <c:v>72</c:v>
                      </c:pt>
                      <c:pt idx="9">
                        <c:v>81</c:v>
                      </c:pt>
                      <c:pt idx="10">
                        <c:v>156</c:v>
                      </c:pt>
                    </c:numCache>
                  </c:numRef>
                </c:cat>
                <c:val>
                  <c:numRef>
                    <c:extLst>
                      <c:ext uri="{02D57815-91ED-43cb-92C2-25804820EDAC}">
                        <c15:formulaRef>
                          <c15:sqref>Sheet2!$C$4:$M$4</c15:sqref>
                        </c15:formulaRef>
                      </c:ext>
                    </c:extLst>
                    <c:numCache>
                      <c:formatCode>General</c:formatCode>
                      <c:ptCount val="11"/>
                      <c:pt idx="0">
                        <c:v>0.14994663820704376</c:v>
                      </c:pt>
                      <c:pt idx="1">
                        <c:v>1.44076840981857E-2</c:v>
                      </c:pt>
                      <c:pt idx="2">
                        <c:v>0.18516542155816434</c:v>
                      </c:pt>
                      <c:pt idx="3">
                        <c:v>1.4941302027748132E-2</c:v>
                      </c:pt>
                      <c:pt idx="4">
                        <c:v>0.30309498399146212</c:v>
                      </c:pt>
                      <c:pt idx="5">
                        <c:v>3.735325506937033E-3</c:v>
                      </c:pt>
                      <c:pt idx="6">
                        <c:v>0.19637139807897544</c:v>
                      </c:pt>
                      <c:pt idx="7">
                        <c:v>0.13233724653148346</c:v>
                      </c:pt>
                      <c:pt idx="8">
                        <c:v>0</c:v>
                      </c:pt>
                      <c:pt idx="9">
                        <c:v>0</c:v>
                      </c:pt>
                      <c:pt idx="10">
                        <c:v>0</c:v>
                      </c:pt>
                    </c:numCache>
                  </c:numRef>
                </c:val>
                <c:extLst>
                  <c:ext xmlns:c16="http://schemas.microsoft.com/office/drawing/2014/chart" uri="{C3380CC4-5D6E-409C-BE32-E72D297353CC}">
                    <c16:uniqueId val="{00000005-1ED2-48D5-8E4F-641DA74E312B}"/>
                  </c:ext>
                </c:extLst>
              </c15:ser>
            </c15:filteredBarSeries>
            <c15:filteredBarSeries>
              <c15:ser>
                <c:idx val="4"/>
                <c:order val="3"/>
                <c:tx>
                  <c:v>15m</c:v>
                </c:tx>
                <c:spPr>
                  <a:solidFill>
                    <a:schemeClr val="accent1">
                      <a:tint val="94000"/>
                    </a:schemeClr>
                  </a:solidFill>
                  <a:ln>
                    <a:noFill/>
                  </a:ln>
                  <a:effectLst/>
                </c:spPr>
                <c:invertIfNegative val="0"/>
                <c:cat>
                  <c:numRef>
                    <c:extLst xmlns:c15="http://schemas.microsoft.com/office/drawing/2012/chart">
                      <c:ext xmlns:c15="http://schemas.microsoft.com/office/drawing/2012/chart" uri="{02D57815-91ED-43cb-92C2-25804820EDAC}">
                        <c15:formulaRef>
                          <c15:sqref>Sheet2!$C$2:$M$2</c15:sqref>
                        </c15:formulaRef>
                      </c:ext>
                    </c:extLst>
                    <c:numCache>
                      <c:formatCode>General</c:formatCode>
                      <c:ptCount val="11"/>
                      <c:pt idx="0">
                        <c:v>9</c:v>
                      </c:pt>
                      <c:pt idx="1">
                        <c:v>46</c:v>
                      </c:pt>
                      <c:pt idx="2">
                        <c:v>52</c:v>
                      </c:pt>
                      <c:pt idx="3">
                        <c:v>54</c:v>
                      </c:pt>
                      <c:pt idx="4">
                        <c:v>57</c:v>
                      </c:pt>
                      <c:pt idx="5">
                        <c:v>61</c:v>
                      </c:pt>
                      <c:pt idx="6">
                        <c:v>64</c:v>
                      </c:pt>
                      <c:pt idx="7">
                        <c:v>68</c:v>
                      </c:pt>
                      <c:pt idx="8">
                        <c:v>72</c:v>
                      </c:pt>
                      <c:pt idx="9">
                        <c:v>81</c:v>
                      </c:pt>
                      <c:pt idx="10">
                        <c:v>156</c:v>
                      </c:pt>
                    </c:numCache>
                  </c:numRef>
                </c:cat>
                <c:val>
                  <c:numRef>
                    <c:extLst xmlns:c15="http://schemas.microsoft.com/office/drawing/2012/chart">
                      <c:ext xmlns:c15="http://schemas.microsoft.com/office/drawing/2012/chart" uri="{02D57815-91ED-43cb-92C2-25804820EDAC}">
                        <c15:formulaRef>
                          <c15:sqref>Sheet2!$C$6:$M$6</c15:sqref>
                        </c15:formulaRef>
                      </c:ext>
                    </c:extLst>
                    <c:numCache>
                      <c:formatCode>General</c:formatCode>
                      <c:ptCount val="11"/>
                      <c:pt idx="0">
                        <c:v>0.28690662493479396</c:v>
                      </c:pt>
                      <c:pt idx="1">
                        <c:v>1.3562858633281168E-2</c:v>
                      </c:pt>
                      <c:pt idx="2">
                        <c:v>3.3907146583202923E-2</c:v>
                      </c:pt>
                      <c:pt idx="3">
                        <c:v>5.2164840897235261E-4</c:v>
                      </c:pt>
                      <c:pt idx="4">
                        <c:v>0.33020344287949921</c:v>
                      </c:pt>
                      <c:pt idx="5">
                        <c:v>9.6504955659885233E-2</c:v>
                      </c:pt>
                      <c:pt idx="6">
                        <c:v>0.23735002608242045</c:v>
                      </c:pt>
                      <c:pt idx="7">
                        <c:v>1.0432968179447052E-3</c:v>
                      </c:pt>
                      <c:pt idx="8">
                        <c:v>0</c:v>
                      </c:pt>
                      <c:pt idx="9">
                        <c:v>0</c:v>
                      </c:pt>
                      <c:pt idx="10">
                        <c:v>0</c:v>
                      </c:pt>
                    </c:numCache>
                  </c:numRef>
                </c:val>
                <c:extLst xmlns:c15="http://schemas.microsoft.com/office/drawing/2012/chart">
                  <c:ext xmlns:c16="http://schemas.microsoft.com/office/drawing/2014/chart" uri="{C3380CC4-5D6E-409C-BE32-E72D297353CC}">
                    <c16:uniqueId val="{00000006-1ED2-48D5-8E4F-641DA74E312B}"/>
                  </c:ext>
                </c:extLst>
              </c15:ser>
            </c15:filteredBarSeries>
            <c15:filteredBarSeries>
              <c15:ser>
                <c:idx val="6"/>
                <c:order val="5"/>
                <c:tx>
                  <c:v>25 m</c:v>
                </c:tx>
                <c:spPr>
                  <a:solidFill>
                    <a:schemeClr val="accent1">
                      <a:shade val="80000"/>
                    </a:schemeClr>
                  </a:solidFill>
                  <a:ln>
                    <a:noFill/>
                  </a:ln>
                  <a:effectLst/>
                </c:spPr>
                <c:invertIfNegative val="0"/>
                <c:cat>
                  <c:numRef>
                    <c:extLst xmlns:c15="http://schemas.microsoft.com/office/drawing/2012/chart">
                      <c:ext xmlns:c15="http://schemas.microsoft.com/office/drawing/2012/chart" uri="{02D57815-91ED-43cb-92C2-25804820EDAC}">
                        <c15:formulaRef>
                          <c15:sqref>Sheet2!$C$2:$M$2</c15:sqref>
                        </c15:formulaRef>
                      </c:ext>
                    </c:extLst>
                    <c:numCache>
                      <c:formatCode>General</c:formatCode>
                      <c:ptCount val="11"/>
                      <c:pt idx="0">
                        <c:v>9</c:v>
                      </c:pt>
                      <c:pt idx="1">
                        <c:v>46</c:v>
                      </c:pt>
                      <c:pt idx="2">
                        <c:v>52</c:v>
                      </c:pt>
                      <c:pt idx="3">
                        <c:v>54</c:v>
                      </c:pt>
                      <c:pt idx="4">
                        <c:v>57</c:v>
                      </c:pt>
                      <c:pt idx="5">
                        <c:v>61</c:v>
                      </c:pt>
                      <c:pt idx="6">
                        <c:v>64</c:v>
                      </c:pt>
                      <c:pt idx="7">
                        <c:v>68</c:v>
                      </c:pt>
                      <c:pt idx="8">
                        <c:v>72</c:v>
                      </c:pt>
                      <c:pt idx="9">
                        <c:v>81</c:v>
                      </c:pt>
                      <c:pt idx="10">
                        <c:v>156</c:v>
                      </c:pt>
                    </c:numCache>
                  </c:numRef>
                </c:cat>
                <c:val>
                  <c:numRef>
                    <c:extLst xmlns:c15="http://schemas.microsoft.com/office/drawing/2012/chart">
                      <c:ext xmlns:c15="http://schemas.microsoft.com/office/drawing/2012/chart" uri="{02D57815-91ED-43cb-92C2-25804820EDAC}">
                        <c15:formulaRef>
                          <c15:sqref>Sheet2!$C$8:$M$8</c15:sqref>
                        </c15:formulaRef>
                      </c:ext>
                    </c:extLst>
                    <c:numCache>
                      <c:formatCode>General</c:formatCode>
                      <c:ptCount val="11"/>
                      <c:pt idx="0">
                        <c:v>2.5587467362924284E-2</c:v>
                      </c:pt>
                      <c:pt idx="1">
                        <c:v>7.2062663185378587E-2</c:v>
                      </c:pt>
                      <c:pt idx="2">
                        <c:v>0.20731070496083551</c:v>
                      </c:pt>
                      <c:pt idx="3">
                        <c:v>1.0443864229765013E-3</c:v>
                      </c:pt>
                      <c:pt idx="4">
                        <c:v>0.33211488250652743</c:v>
                      </c:pt>
                      <c:pt idx="5">
                        <c:v>0</c:v>
                      </c:pt>
                      <c:pt idx="6">
                        <c:v>0.28198433420365537</c:v>
                      </c:pt>
                      <c:pt idx="7">
                        <c:v>0</c:v>
                      </c:pt>
                      <c:pt idx="8">
                        <c:v>7.9895561357702344E-2</c:v>
                      </c:pt>
                      <c:pt idx="9">
                        <c:v>0</c:v>
                      </c:pt>
                      <c:pt idx="10">
                        <c:v>0</c:v>
                      </c:pt>
                    </c:numCache>
                  </c:numRef>
                </c:val>
                <c:extLst xmlns:c15="http://schemas.microsoft.com/office/drawing/2012/chart">
                  <c:ext xmlns:c16="http://schemas.microsoft.com/office/drawing/2014/chart" uri="{C3380CC4-5D6E-409C-BE32-E72D297353CC}">
                    <c16:uniqueId val="{00000007-1ED2-48D5-8E4F-641DA74E312B}"/>
                  </c:ext>
                </c:extLst>
              </c15:ser>
            </c15:filteredBarSeries>
            <c15:filteredBarSeries>
              <c15:ser>
                <c:idx val="8"/>
                <c:order val="7"/>
                <c:tx>
                  <c:v>35 m</c:v>
                </c:tx>
                <c:spPr>
                  <a:solidFill>
                    <a:schemeClr val="accent1">
                      <a:shade val="55000"/>
                    </a:schemeClr>
                  </a:solidFill>
                  <a:ln>
                    <a:noFill/>
                  </a:ln>
                  <a:effectLst/>
                </c:spPr>
                <c:invertIfNegative val="0"/>
                <c:cat>
                  <c:numRef>
                    <c:extLst xmlns:c15="http://schemas.microsoft.com/office/drawing/2012/chart">
                      <c:ext xmlns:c15="http://schemas.microsoft.com/office/drawing/2012/chart" uri="{02D57815-91ED-43cb-92C2-25804820EDAC}">
                        <c15:formulaRef>
                          <c15:sqref>Sheet2!$C$2:$M$2</c15:sqref>
                        </c15:formulaRef>
                      </c:ext>
                    </c:extLst>
                    <c:numCache>
                      <c:formatCode>General</c:formatCode>
                      <c:ptCount val="11"/>
                      <c:pt idx="0">
                        <c:v>9</c:v>
                      </c:pt>
                      <c:pt idx="1">
                        <c:v>46</c:v>
                      </c:pt>
                      <c:pt idx="2">
                        <c:v>52</c:v>
                      </c:pt>
                      <c:pt idx="3">
                        <c:v>54</c:v>
                      </c:pt>
                      <c:pt idx="4">
                        <c:v>57</c:v>
                      </c:pt>
                      <c:pt idx="5">
                        <c:v>61</c:v>
                      </c:pt>
                      <c:pt idx="6">
                        <c:v>64</c:v>
                      </c:pt>
                      <c:pt idx="7">
                        <c:v>68</c:v>
                      </c:pt>
                      <c:pt idx="8">
                        <c:v>72</c:v>
                      </c:pt>
                      <c:pt idx="9">
                        <c:v>81</c:v>
                      </c:pt>
                      <c:pt idx="10">
                        <c:v>156</c:v>
                      </c:pt>
                    </c:numCache>
                  </c:numRef>
                </c:cat>
                <c:val>
                  <c:numRef>
                    <c:extLst xmlns:c15="http://schemas.microsoft.com/office/drawing/2012/chart">
                      <c:ext xmlns:c15="http://schemas.microsoft.com/office/drawing/2012/chart" uri="{02D57815-91ED-43cb-92C2-25804820EDAC}">
                        <c15:formulaRef>
                          <c15:sqref>Sheet2!$C$10:$M$10</c15:sqref>
                        </c15:formulaRef>
                      </c:ext>
                    </c:extLst>
                    <c:numCache>
                      <c:formatCode>General</c:formatCode>
                      <c:ptCount val="11"/>
                      <c:pt idx="0">
                        <c:v>9.076863653920432E-2</c:v>
                      </c:pt>
                      <c:pt idx="1">
                        <c:v>9.1927385090768643E-2</c:v>
                      </c:pt>
                      <c:pt idx="2">
                        <c:v>2.7037466203167246E-2</c:v>
                      </c:pt>
                      <c:pt idx="3">
                        <c:v>0.10737736577829278</c:v>
                      </c:pt>
                      <c:pt idx="4">
                        <c:v>0.19969100038624951</c:v>
                      </c:pt>
                      <c:pt idx="5">
                        <c:v>6.411741985322518E-2</c:v>
                      </c:pt>
                      <c:pt idx="6">
                        <c:v>0.20548474314407106</c:v>
                      </c:pt>
                      <c:pt idx="7">
                        <c:v>0</c:v>
                      </c:pt>
                      <c:pt idx="8">
                        <c:v>0.1850135187331016</c:v>
                      </c:pt>
                      <c:pt idx="9">
                        <c:v>0</c:v>
                      </c:pt>
                      <c:pt idx="10">
                        <c:v>2.8582464271919659E-2</c:v>
                      </c:pt>
                    </c:numCache>
                  </c:numRef>
                </c:val>
                <c:extLst xmlns:c15="http://schemas.microsoft.com/office/drawing/2012/chart">
                  <c:ext xmlns:c16="http://schemas.microsoft.com/office/drawing/2014/chart" uri="{C3380CC4-5D6E-409C-BE32-E72D297353CC}">
                    <c16:uniqueId val="{00000008-1ED2-48D5-8E4F-641DA74E312B}"/>
                  </c:ext>
                </c:extLst>
              </c15:ser>
            </c15:filteredBarSeries>
          </c:ext>
        </c:extLst>
      </c:barChart>
      <c:catAx>
        <c:axId val="53720842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CellID</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7200880"/>
        <c:crosses val="autoZero"/>
        <c:auto val="1"/>
        <c:lblAlgn val="ctr"/>
        <c:lblOffset val="100"/>
        <c:noMultiLvlLbl val="0"/>
      </c:catAx>
      <c:valAx>
        <c:axId val="5372008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a-DK"/>
                  <a:t>Fraction of samples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7208424"/>
        <c:crosses val="autoZero"/>
        <c:crossBetween val="between"/>
      </c:valAx>
      <c:spPr>
        <a:noFill/>
        <a:ln>
          <a:noFill/>
        </a:ln>
        <a:effectLst/>
      </c:spPr>
    </c:plotArea>
    <c:legend>
      <c:legendPos val="b"/>
      <c:layout>
        <c:manualLayout>
          <c:xMode val="edge"/>
          <c:yMode val="edge"/>
          <c:x val="0.83312422889813931"/>
          <c:y val="4.2724809514284152E-2"/>
          <c:w val="7.555283615025829E-2"/>
          <c:h val="0.304465336752074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withinLinearReversed" id="21">
  <a:schemeClr val="accent1"/>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5AIRPNAIUNRU-859666464-1927</_dlc_DocId>
    <_dlc_DocIdUrl xmlns="71c5aaf6-e6ce-465b-b873-5148d2a4c105">
      <Url>https://nokia.sharepoint.com/sites/c5g/e2earch/_layouts/15/DocIdRedir.aspx?ID=5AIRPNAIUNRU-859666464-1927</Url>
      <Description>5AIRPNAIUNRU-859666464-1927</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2.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3.xml><?xml version="1.0" encoding="utf-8"?>
<ds:datastoreItem xmlns:ds="http://schemas.openxmlformats.org/officeDocument/2006/customXml" ds:itemID="{5F911774-FE0A-4A4F-9E14-2290F7655A45}">
  <ds:schemaRefs>
    <ds:schemaRef ds:uri="Microsoft.SharePoint.Taxonomy.ContentTypeSync"/>
  </ds:schemaRefs>
</ds:datastoreItem>
</file>

<file path=customXml/itemProps4.xml><?xml version="1.0" encoding="utf-8"?>
<ds:datastoreItem xmlns:ds="http://schemas.openxmlformats.org/officeDocument/2006/customXml" ds:itemID="{A09FCB62-BDB2-490B-942D-CA204DAA8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49</TotalTime>
  <Pages>3</Pages>
  <Words>877</Words>
  <Characters>5003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5869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12</cp:revision>
  <dcterms:created xsi:type="dcterms:W3CDTF">2018-05-08T14:21:00Z</dcterms:created>
  <dcterms:modified xsi:type="dcterms:W3CDTF">2018-05-11T05:53:00Z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9695804e-db03-4f79-a722-09809370126f</vt:lpwstr>
  </property>
</Properties>
</file>